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310" w:type="dxa"/>
        <w:tblInd w:w="-714" w:type="dxa"/>
        <w:tblCellMar>
          <w:left w:w="70" w:type="dxa"/>
          <w:right w:w="70" w:type="dxa"/>
        </w:tblCellMar>
        <w:tblLook w:val="04A0" w:firstRow="1" w:lastRow="0" w:firstColumn="1" w:lastColumn="0" w:noHBand="0" w:noVBand="1"/>
      </w:tblPr>
      <w:tblGrid>
        <w:gridCol w:w="948"/>
        <w:gridCol w:w="2485"/>
        <w:gridCol w:w="2140"/>
        <w:gridCol w:w="2680"/>
        <w:gridCol w:w="1330"/>
        <w:gridCol w:w="5727"/>
      </w:tblGrid>
      <w:tr w:rsidR="00674E26" w:rsidRPr="00674E26" w:rsidTr="00EE665F">
        <w:trPr>
          <w:trHeight w:val="570"/>
        </w:trPr>
        <w:tc>
          <w:tcPr>
            <w:tcW w:w="15310" w:type="dxa"/>
            <w:gridSpan w:val="6"/>
            <w:tcBorders>
              <w:top w:val="single" w:sz="4" w:space="0" w:color="auto"/>
              <w:left w:val="single" w:sz="4" w:space="0" w:color="auto"/>
              <w:bottom w:val="single" w:sz="4" w:space="0" w:color="auto"/>
              <w:right w:val="single" w:sz="4" w:space="0" w:color="000000"/>
            </w:tcBorders>
            <w:shd w:val="clear" w:color="auto" w:fill="E2EFD9" w:themeFill="accent6" w:themeFillTint="33"/>
            <w:noWrap/>
            <w:vAlign w:val="center"/>
            <w:hideMark/>
          </w:tcPr>
          <w:p w:rsidR="00674E26" w:rsidRPr="00674E26" w:rsidRDefault="00674E26" w:rsidP="00674E26">
            <w:pPr>
              <w:spacing w:after="0" w:line="240" w:lineRule="auto"/>
              <w:jc w:val="center"/>
              <w:rPr>
                <w:rFonts w:ascii="Times New Roman" w:eastAsia="Times New Roman" w:hAnsi="Times New Roman" w:cs="Times New Roman"/>
                <w:b/>
                <w:bCs/>
                <w:color w:val="000000"/>
                <w:sz w:val="24"/>
                <w:szCs w:val="24"/>
                <w:lang w:eastAsia="pl-PL"/>
              </w:rPr>
            </w:pPr>
            <w:r w:rsidRPr="00674E26">
              <w:rPr>
                <w:rFonts w:ascii="Times New Roman" w:eastAsia="Times New Roman" w:hAnsi="Times New Roman" w:cs="Times New Roman"/>
                <w:b/>
                <w:bCs/>
                <w:color w:val="000000"/>
                <w:sz w:val="24"/>
                <w:szCs w:val="24"/>
                <w:lang w:eastAsia="pl-PL"/>
              </w:rPr>
              <w:t>PROJEKTY OGÓLNOMIEJSKIE NIEZAKWALIFIKOWANE DO GŁOSOWANIA</w:t>
            </w:r>
          </w:p>
        </w:tc>
      </w:tr>
      <w:tr w:rsidR="00DF5F63" w:rsidRPr="00674E26" w:rsidTr="00EE665F">
        <w:trPr>
          <w:trHeight w:val="1170"/>
        </w:trPr>
        <w:tc>
          <w:tcPr>
            <w:tcW w:w="948"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rsidR="00674E26" w:rsidRPr="00674E26" w:rsidRDefault="00674E26" w:rsidP="00674E26">
            <w:pPr>
              <w:spacing w:after="0" w:line="240" w:lineRule="auto"/>
              <w:jc w:val="center"/>
              <w:rPr>
                <w:rFonts w:ascii="Times New Roman" w:eastAsia="Times New Roman" w:hAnsi="Times New Roman" w:cs="Times New Roman"/>
                <w:b/>
                <w:bCs/>
                <w:color w:val="000000"/>
                <w:lang w:eastAsia="pl-PL"/>
              </w:rPr>
            </w:pPr>
            <w:proofErr w:type="spellStart"/>
            <w:r w:rsidRPr="00674E26">
              <w:rPr>
                <w:rFonts w:ascii="Times New Roman" w:eastAsia="Times New Roman" w:hAnsi="Times New Roman" w:cs="Times New Roman"/>
                <w:b/>
                <w:bCs/>
                <w:color w:val="000000"/>
                <w:lang w:eastAsia="pl-PL"/>
              </w:rPr>
              <w:t>L.p</w:t>
            </w:r>
            <w:proofErr w:type="spellEnd"/>
          </w:p>
        </w:tc>
        <w:tc>
          <w:tcPr>
            <w:tcW w:w="2485" w:type="dxa"/>
            <w:tcBorders>
              <w:top w:val="nil"/>
              <w:left w:val="nil"/>
              <w:bottom w:val="single" w:sz="4" w:space="0" w:color="auto"/>
              <w:right w:val="single" w:sz="4" w:space="0" w:color="auto"/>
            </w:tcBorders>
            <w:shd w:val="clear" w:color="auto" w:fill="E2EFD9" w:themeFill="accent6" w:themeFillTint="33"/>
            <w:vAlign w:val="center"/>
            <w:hideMark/>
          </w:tcPr>
          <w:p w:rsidR="00674E26" w:rsidRPr="00674E26" w:rsidRDefault="00674E26" w:rsidP="00674E26">
            <w:pPr>
              <w:spacing w:after="0" w:line="240" w:lineRule="auto"/>
              <w:jc w:val="center"/>
              <w:rPr>
                <w:rFonts w:ascii="Times New Roman" w:eastAsia="Times New Roman" w:hAnsi="Times New Roman" w:cs="Times New Roman"/>
                <w:b/>
                <w:bCs/>
                <w:color w:val="000000"/>
                <w:lang w:eastAsia="pl-PL"/>
              </w:rPr>
            </w:pPr>
            <w:r w:rsidRPr="00674E26">
              <w:rPr>
                <w:rFonts w:ascii="Times New Roman" w:eastAsia="Times New Roman" w:hAnsi="Times New Roman" w:cs="Times New Roman"/>
                <w:b/>
                <w:bCs/>
                <w:color w:val="000000"/>
                <w:lang w:eastAsia="pl-PL"/>
              </w:rPr>
              <w:t>Tytuł projektu</w:t>
            </w:r>
          </w:p>
        </w:tc>
        <w:tc>
          <w:tcPr>
            <w:tcW w:w="2140" w:type="dxa"/>
            <w:tcBorders>
              <w:top w:val="nil"/>
              <w:left w:val="nil"/>
              <w:bottom w:val="single" w:sz="4" w:space="0" w:color="auto"/>
              <w:right w:val="single" w:sz="4" w:space="0" w:color="auto"/>
            </w:tcBorders>
            <w:shd w:val="clear" w:color="auto" w:fill="E2EFD9" w:themeFill="accent6" w:themeFillTint="33"/>
            <w:vAlign w:val="center"/>
            <w:hideMark/>
          </w:tcPr>
          <w:p w:rsidR="00674E26" w:rsidRPr="00674E26" w:rsidRDefault="00674E26" w:rsidP="00674E26">
            <w:pPr>
              <w:spacing w:after="0" w:line="240" w:lineRule="auto"/>
              <w:jc w:val="center"/>
              <w:rPr>
                <w:rFonts w:ascii="Times New Roman" w:eastAsia="Times New Roman" w:hAnsi="Times New Roman" w:cs="Times New Roman"/>
                <w:b/>
                <w:bCs/>
                <w:color w:val="000000"/>
                <w:lang w:eastAsia="pl-PL"/>
              </w:rPr>
            </w:pPr>
            <w:r w:rsidRPr="00674E26">
              <w:rPr>
                <w:rFonts w:ascii="Times New Roman" w:eastAsia="Times New Roman" w:hAnsi="Times New Roman" w:cs="Times New Roman"/>
                <w:b/>
                <w:bCs/>
                <w:color w:val="000000"/>
                <w:lang w:eastAsia="pl-PL"/>
              </w:rPr>
              <w:t>Lokalizacja</w:t>
            </w:r>
          </w:p>
        </w:tc>
        <w:tc>
          <w:tcPr>
            <w:tcW w:w="2680" w:type="dxa"/>
            <w:tcBorders>
              <w:top w:val="nil"/>
              <w:left w:val="nil"/>
              <w:bottom w:val="single" w:sz="4" w:space="0" w:color="auto"/>
              <w:right w:val="single" w:sz="4" w:space="0" w:color="auto"/>
            </w:tcBorders>
            <w:shd w:val="clear" w:color="auto" w:fill="E2EFD9" w:themeFill="accent6" w:themeFillTint="33"/>
            <w:vAlign w:val="center"/>
            <w:hideMark/>
          </w:tcPr>
          <w:p w:rsidR="00674E26" w:rsidRPr="00674E26" w:rsidRDefault="00674E26" w:rsidP="00674E26">
            <w:pPr>
              <w:spacing w:after="0" w:line="240" w:lineRule="auto"/>
              <w:jc w:val="center"/>
              <w:rPr>
                <w:rFonts w:ascii="Times New Roman" w:eastAsia="Times New Roman" w:hAnsi="Times New Roman" w:cs="Times New Roman"/>
                <w:b/>
                <w:bCs/>
                <w:color w:val="000000"/>
                <w:lang w:eastAsia="pl-PL"/>
              </w:rPr>
            </w:pPr>
            <w:bookmarkStart w:id="0" w:name="_GoBack"/>
            <w:bookmarkEnd w:id="0"/>
            <w:r w:rsidRPr="00674E26">
              <w:rPr>
                <w:rFonts w:ascii="Times New Roman" w:eastAsia="Times New Roman" w:hAnsi="Times New Roman" w:cs="Times New Roman"/>
                <w:b/>
                <w:bCs/>
                <w:color w:val="000000"/>
                <w:lang w:eastAsia="pl-PL"/>
              </w:rPr>
              <w:t>Opis</w:t>
            </w:r>
          </w:p>
        </w:tc>
        <w:tc>
          <w:tcPr>
            <w:tcW w:w="1330" w:type="dxa"/>
            <w:tcBorders>
              <w:top w:val="nil"/>
              <w:left w:val="nil"/>
              <w:bottom w:val="single" w:sz="4" w:space="0" w:color="auto"/>
              <w:right w:val="single" w:sz="4" w:space="0" w:color="auto"/>
            </w:tcBorders>
            <w:shd w:val="clear" w:color="auto" w:fill="E2EFD9" w:themeFill="accent6" w:themeFillTint="33"/>
            <w:vAlign w:val="center"/>
            <w:hideMark/>
          </w:tcPr>
          <w:p w:rsidR="00674E26" w:rsidRPr="00674E26" w:rsidRDefault="00EE665F" w:rsidP="00674E26">
            <w:pPr>
              <w:spacing w:after="0" w:line="240" w:lineRule="auto"/>
              <w:jc w:val="center"/>
              <w:rPr>
                <w:rFonts w:ascii="Times New Roman" w:eastAsia="Times New Roman" w:hAnsi="Times New Roman" w:cs="Times New Roman"/>
                <w:b/>
                <w:bCs/>
                <w:color w:val="000000"/>
                <w:lang w:eastAsia="pl-PL"/>
              </w:rPr>
            </w:pPr>
            <w:r>
              <w:rPr>
                <w:rFonts w:ascii="Times New Roman" w:eastAsia="Times New Roman" w:hAnsi="Times New Roman" w:cs="Times New Roman"/>
                <w:b/>
                <w:bCs/>
                <w:color w:val="000000"/>
                <w:lang w:eastAsia="pl-PL"/>
              </w:rPr>
              <w:t xml:space="preserve"> Szacunkowy koszt (zł) </w:t>
            </w:r>
            <w:r>
              <w:rPr>
                <w:rFonts w:ascii="Times New Roman" w:eastAsia="Times New Roman" w:hAnsi="Times New Roman" w:cs="Times New Roman"/>
                <w:b/>
                <w:bCs/>
                <w:color w:val="000000"/>
                <w:lang w:eastAsia="pl-PL"/>
              </w:rPr>
              <w:br/>
              <w:t>wg</w:t>
            </w:r>
            <w:r w:rsidR="00674E26" w:rsidRPr="00674E26">
              <w:rPr>
                <w:rFonts w:ascii="Times New Roman" w:eastAsia="Times New Roman" w:hAnsi="Times New Roman" w:cs="Times New Roman"/>
                <w:b/>
                <w:bCs/>
                <w:color w:val="000000"/>
                <w:lang w:eastAsia="pl-PL"/>
              </w:rPr>
              <w:t xml:space="preserve"> wniosku </w:t>
            </w:r>
          </w:p>
        </w:tc>
        <w:tc>
          <w:tcPr>
            <w:tcW w:w="5727" w:type="dxa"/>
            <w:tcBorders>
              <w:top w:val="nil"/>
              <w:left w:val="nil"/>
              <w:bottom w:val="nil"/>
              <w:right w:val="single" w:sz="4" w:space="0" w:color="auto"/>
            </w:tcBorders>
            <w:shd w:val="clear" w:color="auto" w:fill="E2EFD9" w:themeFill="accent6" w:themeFillTint="33"/>
            <w:vAlign w:val="center"/>
            <w:hideMark/>
          </w:tcPr>
          <w:p w:rsidR="00674E26" w:rsidRPr="00674E26" w:rsidRDefault="00674E26" w:rsidP="00674E26">
            <w:pPr>
              <w:spacing w:after="0" w:line="240" w:lineRule="auto"/>
              <w:jc w:val="center"/>
              <w:rPr>
                <w:rFonts w:ascii="Times New Roman" w:eastAsia="Times New Roman" w:hAnsi="Times New Roman" w:cs="Times New Roman"/>
                <w:b/>
                <w:bCs/>
                <w:color w:val="000000"/>
                <w:lang w:eastAsia="pl-PL"/>
              </w:rPr>
            </w:pPr>
            <w:r w:rsidRPr="00674E26">
              <w:rPr>
                <w:rFonts w:ascii="Times New Roman" w:eastAsia="Times New Roman" w:hAnsi="Times New Roman" w:cs="Times New Roman"/>
                <w:b/>
                <w:bCs/>
                <w:color w:val="000000"/>
                <w:lang w:eastAsia="pl-PL"/>
              </w:rPr>
              <w:t xml:space="preserve">Uzasadnienie </w:t>
            </w:r>
          </w:p>
        </w:tc>
      </w:tr>
      <w:tr w:rsidR="00DF5F63" w:rsidRPr="00674E26" w:rsidTr="00DF5F63">
        <w:trPr>
          <w:trHeight w:val="1632"/>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1.</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proofErr w:type="spellStart"/>
            <w:r w:rsidRPr="00674E26">
              <w:rPr>
                <w:rFonts w:ascii="Times New Roman" w:eastAsia="Times New Roman" w:hAnsi="Times New Roman" w:cs="Times New Roman"/>
                <w:color w:val="000000"/>
                <w:sz w:val="20"/>
                <w:szCs w:val="20"/>
                <w:lang w:eastAsia="pl-PL"/>
              </w:rPr>
              <w:t>Skatepark</w:t>
            </w:r>
            <w:proofErr w:type="spellEnd"/>
            <w:r w:rsidRPr="00674E26">
              <w:rPr>
                <w:rFonts w:ascii="Times New Roman" w:eastAsia="Times New Roman" w:hAnsi="Times New Roman" w:cs="Times New Roman"/>
                <w:color w:val="000000"/>
                <w:sz w:val="20"/>
                <w:szCs w:val="20"/>
                <w:lang w:eastAsia="pl-PL"/>
              </w:rPr>
              <w:t xml:space="preserve"> przy Trasie Niepodległości</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Teren przy Al. Niepodległości w rejonie Szkoły Podstawowej nr 49</w:t>
            </w:r>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budowę </w:t>
            </w:r>
            <w:proofErr w:type="spellStart"/>
            <w:r w:rsidRPr="00674E26">
              <w:rPr>
                <w:rFonts w:ascii="Times New Roman" w:eastAsia="Times New Roman" w:hAnsi="Times New Roman" w:cs="Times New Roman"/>
                <w:color w:val="000000"/>
                <w:sz w:val="20"/>
                <w:szCs w:val="20"/>
                <w:lang w:eastAsia="pl-PL"/>
              </w:rPr>
              <w:t>skateparku</w:t>
            </w:r>
            <w:proofErr w:type="spellEnd"/>
            <w:r w:rsidRPr="00674E26">
              <w:rPr>
                <w:rFonts w:ascii="Times New Roman" w:eastAsia="Times New Roman" w:hAnsi="Times New Roman" w:cs="Times New Roman"/>
                <w:color w:val="000000"/>
                <w:sz w:val="20"/>
                <w:szCs w:val="20"/>
                <w:lang w:eastAsia="pl-PL"/>
              </w:rPr>
              <w:t xml:space="preserve"> służącego zarówno zaawansowanym jak i początkującym użytkownikom jeżdżącym na deskorolkach, rowerach BMX oraz hulajnogach.</w:t>
            </w:r>
          </w:p>
        </w:tc>
        <w:tc>
          <w:tcPr>
            <w:tcW w:w="1330" w:type="dxa"/>
            <w:tcBorders>
              <w:top w:val="nil"/>
              <w:left w:val="nil"/>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825 000,00 </w:t>
            </w:r>
          </w:p>
        </w:tc>
        <w:tc>
          <w:tcPr>
            <w:tcW w:w="5727"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2 i 6 uchwały*. Zgodnie z miejscowym planem zagospodarowania wskazany w projekcie teren przeznaczono pod usługi z zakresu sportu, rekreacji i turystyki i jest on rozpatrywany pod lokalizację basenu sportowego. Ponadto wobec działki 492/19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4 prowadzone jest postępowanie zwrotowe.</w:t>
            </w:r>
          </w:p>
        </w:tc>
      </w:tr>
      <w:tr w:rsidR="00DF5F63" w:rsidRPr="00674E26" w:rsidTr="00DF5F63">
        <w:trPr>
          <w:trHeight w:val="3385"/>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2.</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Miasto zieleni</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sz w:val="20"/>
                <w:szCs w:val="20"/>
                <w:lang w:eastAsia="pl-PL"/>
              </w:rPr>
            </w:pPr>
            <w:r w:rsidRPr="00674E26">
              <w:rPr>
                <w:rFonts w:ascii="Times New Roman" w:eastAsia="Times New Roman" w:hAnsi="Times New Roman" w:cs="Times New Roman"/>
                <w:sz w:val="20"/>
                <w:szCs w:val="20"/>
                <w:lang w:eastAsia="pl-PL"/>
              </w:rPr>
              <w:t>Teren nad rz. Białą przy ul. J.K. Branickiego od ul. Cz. Miłosza do ul. K. Ciołkowskiego</w:t>
            </w:r>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zagospodarowanie terenu nad rz. Białą poprzez budowę alejek, nasadzenie zieleni, realizację ogródka zabaw dla dzieci, ustawienie altanek, ławek.</w:t>
            </w:r>
          </w:p>
        </w:tc>
        <w:tc>
          <w:tcPr>
            <w:tcW w:w="133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sz w:val="20"/>
                <w:szCs w:val="20"/>
                <w:lang w:eastAsia="pl-PL"/>
              </w:rPr>
            </w:pPr>
            <w:r w:rsidRPr="00674E26">
              <w:rPr>
                <w:rFonts w:ascii="Times New Roman" w:eastAsia="Times New Roman" w:hAnsi="Times New Roman" w:cs="Times New Roman"/>
                <w:sz w:val="20"/>
                <w:szCs w:val="20"/>
                <w:lang w:eastAsia="pl-PL"/>
              </w:rPr>
              <w:t xml:space="preserve">1 000 000,00 </w:t>
            </w:r>
          </w:p>
        </w:tc>
        <w:tc>
          <w:tcPr>
            <w:tcW w:w="5727"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2 i 3 uchwały* oraz § 5 ust. 1 pkt 1 zarządzenia**. W stosunku do działki nr 36/5 toczy się postępowanie dot. inwestycji drogowej, w stosunku do dz. 69/16 toczy się postępowanie dot. budowy urządzeń infrastruktury energetycznej. Dz. nr 1593 i 1680/1 zgodnie z planem miejscowym przeznaczone są pod projektowane jezdnie, dojazdy i ciągi piesze. Dz. nr 36/4 jest wydzielona pod istniejącą ścieżkę rowerową, dz. nr 1532 jest ciągiem komunikacyjnym, który ma służyć zarówno ruchowi pieszemu jak i rowerowemu. Pozostałe działki stanowią powierzchnię 4,7 ha. Szacowany koszt zagospodarowania takiego obszaru to 8-10 mln zł, w tym koszt dokumentacji projektowej ok. 300 tys. zł, co znacznie przekracza maksymalną kwotę pojedynczego projektu </w:t>
            </w:r>
            <w:proofErr w:type="spellStart"/>
            <w:r w:rsidRPr="00674E26">
              <w:rPr>
                <w:rFonts w:ascii="Times New Roman" w:eastAsia="Times New Roman" w:hAnsi="Times New Roman" w:cs="Times New Roman"/>
                <w:color w:val="000000"/>
                <w:sz w:val="20"/>
                <w:szCs w:val="20"/>
                <w:lang w:eastAsia="pl-PL"/>
              </w:rPr>
              <w:t>ogólnomiejskiego</w:t>
            </w:r>
            <w:proofErr w:type="spellEnd"/>
            <w:r w:rsidRPr="00674E26">
              <w:rPr>
                <w:rFonts w:ascii="Times New Roman" w:eastAsia="Times New Roman" w:hAnsi="Times New Roman" w:cs="Times New Roman"/>
                <w:color w:val="000000"/>
                <w:sz w:val="20"/>
                <w:szCs w:val="20"/>
                <w:lang w:eastAsia="pl-PL"/>
              </w:rPr>
              <w:t xml:space="preserve"> (1 mln zł.)</w:t>
            </w:r>
            <w:r w:rsidR="00725555">
              <w:rPr>
                <w:rFonts w:ascii="Times New Roman" w:eastAsia="Times New Roman" w:hAnsi="Times New Roman" w:cs="Times New Roman"/>
                <w:color w:val="000000"/>
                <w:sz w:val="20"/>
                <w:szCs w:val="20"/>
                <w:lang w:eastAsia="pl-PL"/>
              </w:rPr>
              <w:t>.</w:t>
            </w:r>
          </w:p>
        </w:tc>
      </w:tr>
      <w:tr w:rsidR="00674E26" w:rsidRPr="00674E26" w:rsidTr="00DF5F63">
        <w:trPr>
          <w:trHeight w:val="2775"/>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3.</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Zielony ogród wertykalny na Słonimskiej</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ul. Słonimska 1, zewnętrzna ściana siedziby budynku Urzędu Miejskiego w Białymstoku</w:t>
            </w:r>
          </w:p>
        </w:tc>
        <w:tc>
          <w:tcPr>
            <w:tcW w:w="2680" w:type="dxa"/>
            <w:tcBorders>
              <w:top w:val="single" w:sz="4" w:space="0" w:color="auto"/>
              <w:left w:val="nil"/>
              <w:bottom w:val="single" w:sz="4" w:space="0" w:color="auto"/>
              <w:right w:val="nil"/>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założenie ogrodu wertykalnego, czyli zieleńca na pionowej ścianie budynku poprzez montaż modułów roślinnych oraz wykonanie instalacji automatycznego systemu nawadniania. Wykorzystana powinna zostać roślinność różnorodna i odporna na zimno. </w:t>
            </w:r>
          </w:p>
        </w:tc>
        <w:tc>
          <w:tcPr>
            <w:tcW w:w="1330" w:type="dxa"/>
            <w:tcBorders>
              <w:top w:val="nil"/>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jc w:val="both"/>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 </w:t>
            </w:r>
            <w:r w:rsidRPr="00674E26">
              <w:rPr>
                <w:rFonts w:ascii="Times New Roman" w:eastAsia="Times New Roman" w:hAnsi="Times New Roman" w:cs="Times New Roman"/>
                <w:color w:val="000000"/>
                <w:sz w:val="20"/>
                <w:szCs w:val="20"/>
                <w:lang w:eastAsia="pl-PL"/>
              </w:rPr>
              <w:t xml:space="preserve"> 55 000,00 </w:t>
            </w:r>
          </w:p>
        </w:tc>
        <w:tc>
          <w:tcPr>
            <w:tcW w:w="5727"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10 ust. 2 uchwały*. Lokalizacja projektu jest miejscem o trudnych warunkach do utrzymania pożądanej kondycji materiału roślinnego, tj. miejsce wietrzne i silnie nasłonecznione. W warunkach klimatycznych Białegostoku nasadzenia roślin w pojemnikach/ donicach w okresie zimowym bardzo często narażane są na przemarzanie bryły korzeniowej. W wyniku przeprowadzonej analizy utrzymania zielonych ogrodów wertykalnych w innych polskich miastach (m.in.: Warszawa, Wrocław) oraz lokalnych uwarunkowań środowiskowych (w tym mroźne zimy), projekt oceniono negatywnie z uwagi na generowanie wysokich kosztów związanych z coroczną odnową </w:t>
            </w:r>
            <w:proofErr w:type="spellStart"/>
            <w:r w:rsidRPr="00674E26">
              <w:rPr>
                <w:rFonts w:ascii="Times New Roman" w:eastAsia="Times New Roman" w:hAnsi="Times New Roman" w:cs="Times New Roman"/>
                <w:color w:val="000000"/>
                <w:sz w:val="20"/>
                <w:szCs w:val="20"/>
                <w:lang w:eastAsia="pl-PL"/>
              </w:rPr>
              <w:t>nasadzeń</w:t>
            </w:r>
            <w:proofErr w:type="spellEnd"/>
            <w:r w:rsidRPr="00674E26">
              <w:rPr>
                <w:rFonts w:ascii="Times New Roman" w:eastAsia="Times New Roman" w:hAnsi="Times New Roman" w:cs="Times New Roman"/>
                <w:color w:val="000000"/>
                <w:sz w:val="20"/>
                <w:szCs w:val="20"/>
                <w:lang w:eastAsia="pl-PL"/>
              </w:rPr>
              <w:t xml:space="preserve"> roślin.</w:t>
            </w:r>
          </w:p>
        </w:tc>
      </w:tr>
      <w:tr w:rsidR="00674E26" w:rsidRPr="00674E26" w:rsidTr="00F54AE2">
        <w:trPr>
          <w:trHeight w:val="1826"/>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lastRenderedPageBreak/>
              <w:t>4.</w:t>
            </w:r>
          </w:p>
        </w:tc>
        <w:tc>
          <w:tcPr>
            <w:tcW w:w="2485"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Stoły drewniane wielofunkcyjne w Parku Wierzbowa</w:t>
            </w:r>
          </w:p>
        </w:tc>
        <w:tc>
          <w:tcPr>
            <w:tcW w:w="214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Park Antoniuk przy ul. Wierzbowej</w:t>
            </w:r>
          </w:p>
        </w:tc>
        <w:tc>
          <w:tcPr>
            <w:tcW w:w="268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ustawienie 5 drewnianych stołów z zadaszeniem i ławami w Parku przy ul. Wierzbowej</w:t>
            </w:r>
          </w:p>
        </w:tc>
        <w:tc>
          <w:tcPr>
            <w:tcW w:w="1330" w:type="dxa"/>
            <w:tcBorders>
              <w:top w:val="single" w:sz="4" w:space="0" w:color="auto"/>
              <w:left w:val="nil"/>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 </w:t>
            </w:r>
            <w:r w:rsidRPr="00674E26">
              <w:rPr>
                <w:rFonts w:ascii="Times New Roman" w:eastAsia="Times New Roman" w:hAnsi="Times New Roman" w:cs="Times New Roman"/>
                <w:color w:val="000000"/>
                <w:sz w:val="20"/>
                <w:szCs w:val="20"/>
                <w:lang w:eastAsia="pl-PL"/>
              </w:rPr>
              <w:t xml:space="preserve">63 000,00 </w:t>
            </w:r>
          </w:p>
        </w:tc>
        <w:tc>
          <w:tcPr>
            <w:tcW w:w="5727"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5 ust. 2 i § 6 pkt 2 uchwały*. W stosunku do działki nr 372/23 w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03 prowadzone jest postępowanie zwrotowe oraz postępowanie w sprawie ustanowienia służebności </w:t>
            </w:r>
            <w:proofErr w:type="spellStart"/>
            <w:r w:rsidRPr="00674E26">
              <w:rPr>
                <w:rFonts w:ascii="Times New Roman" w:eastAsia="Times New Roman" w:hAnsi="Times New Roman" w:cs="Times New Roman"/>
                <w:color w:val="000000"/>
                <w:sz w:val="20"/>
                <w:szCs w:val="20"/>
                <w:lang w:eastAsia="pl-PL"/>
              </w:rPr>
              <w:t>przesyłu</w:t>
            </w:r>
            <w:proofErr w:type="spellEnd"/>
            <w:r w:rsidRPr="00674E26">
              <w:rPr>
                <w:rFonts w:ascii="Times New Roman" w:eastAsia="Times New Roman" w:hAnsi="Times New Roman" w:cs="Times New Roman"/>
                <w:color w:val="000000"/>
                <w:sz w:val="20"/>
                <w:szCs w:val="20"/>
                <w:lang w:eastAsia="pl-PL"/>
              </w:rPr>
              <w:t xml:space="preserve"> pod istniejące urządzenia infrastruktury energetycznej na rzecz PGE Dystrybucja. Dodatkowo, ustawienie stołów wielofunkcyjnych w pobliżu klubu "Krąg"  mogłoby uniemożliwiać przedsiębiorcy dostęp do tych urządzeń.</w:t>
            </w:r>
          </w:p>
        </w:tc>
      </w:tr>
      <w:tr w:rsidR="00DF5F63" w:rsidRPr="00674E26" w:rsidTr="00DF5F63">
        <w:trPr>
          <w:trHeight w:val="4095"/>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5.</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Tor do jazdy na rolkach lub wrotkach</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Alternatywnie: 1) ul. Włókiennicza 2) ul. gen. J. Sławińskiego 3) ul. A. Fredry 4) ul. Jarzębinowa</w:t>
            </w:r>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budowę toru w formie pętli wraz z zapleczem towarzyszącym: toalety, parking, stojaki rowerowe, zieleń, kosze na śmieci, ławki. Obiekt będzie ogrodzony i oświetlony. </w:t>
            </w:r>
          </w:p>
        </w:tc>
        <w:tc>
          <w:tcPr>
            <w:tcW w:w="133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995 000,00 </w:t>
            </w:r>
          </w:p>
        </w:tc>
        <w:tc>
          <w:tcPr>
            <w:tcW w:w="5727"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24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3 i 6 oraz § 10 pkt 2  uchwały*. Brak możliwości realizacji zadania na wskazanych przez wnioskodawcę lokalizacjach. Działka nr 772/18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9 (ul. gen. J. Sławińskiego) stanowi w większości obszar zadrzewiony, w związku z czym w celu realizacji projektu konieczna byłaby wycinka dużej liczby drzew. Wiąże się to  z wysokim kosztem. Działka nr 11/2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11 (ul. Włókiennicza) to teren przewidziany pod realizację bulwarów nad rzeką Białą. Działka nr 597/4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16 (ul. A. Fredry), z uwagi na konieczność zachowania odległości co najmniej 10 m od linii rozgraniczających ulicę (§ 40 ust. 3 rozporządzenia Ministra Infrastruktury z dnia 12 kwietnia 2002 r. w sprawie warunków technicznych jakim powinny odpowiadać budynki i ich usytuowanie), nie posiada wystarczającej powierzchni, aby zrealizować planowaną inwestycję. Umiejscowienie projektu na działce nr 33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2 (ul. Jarzębinowa) nie jest możliwe z uwagi na zapisy miejscowego planu zagospodarowania przestrzennego dotyczące uwarunkowań gruntowo-wodnych, w tym zakaz wymiany gruntu.</w:t>
            </w:r>
          </w:p>
        </w:tc>
      </w:tr>
      <w:tr w:rsidR="00DF5F63" w:rsidRPr="00674E26" w:rsidTr="00DF5F63">
        <w:trPr>
          <w:trHeight w:val="2475"/>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6.</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proofErr w:type="spellStart"/>
            <w:r w:rsidRPr="00674E26">
              <w:rPr>
                <w:rFonts w:ascii="Times New Roman" w:eastAsia="Times New Roman" w:hAnsi="Times New Roman" w:cs="Times New Roman"/>
                <w:color w:val="000000"/>
                <w:sz w:val="20"/>
                <w:szCs w:val="20"/>
                <w:lang w:eastAsia="pl-PL"/>
              </w:rPr>
              <w:t>Pamptrack</w:t>
            </w:r>
            <w:proofErr w:type="spellEnd"/>
            <w:r w:rsidRPr="00674E26">
              <w:rPr>
                <w:rFonts w:ascii="Times New Roman" w:eastAsia="Times New Roman" w:hAnsi="Times New Roman" w:cs="Times New Roman"/>
                <w:color w:val="000000"/>
                <w:sz w:val="20"/>
                <w:szCs w:val="20"/>
                <w:lang w:eastAsia="pl-PL"/>
              </w:rPr>
              <w:t xml:space="preserve"> dla rowerów, hulajnóg i rolek oraz </w:t>
            </w:r>
            <w:proofErr w:type="spellStart"/>
            <w:r w:rsidRPr="00674E26">
              <w:rPr>
                <w:rFonts w:ascii="Times New Roman" w:eastAsia="Times New Roman" w:hAnsi="Times New Roman" w:cs="Times New Roman"/>
                <w:color w:val="000000"/>
                <w:sz w:val="20"/>
                <w:szCs w:val="20"/>
                <w:lang w:eastAsia="pl-PL"/>
              </w:rPr>
              <w:t>streetworkout</w:t>
            </w:r>
            <w:proofErr w:type="spellEnd"/>
            <w:r w:rsidRPr="00674E26">
              <w:rPr>
                <w:rFonts w:ascii="Times New Roman" w:eastAsia="Times New Roman" w:hAnsi="Times New Roman" w:cs="Times New Roman"/>
                <w:color w:val="000000"/>
                <w:sz w:val="20"/>
                <w:szCs w:val="20"/>
                <w:lang w:eastAsia="pl-PL"/>
              </w:rPr>
              <w:t>/</w:t>
            </w:r>
            <w:proofErr w:type="spellStart"/>
            <w:r w:rsidRPr="00674E26">
              <w:rPr>
                <w:rFonts w:ascii="Times New Roman" w:eastAsia="Times New Roman" w:hAnsi="Times New Roman" w:cs="Times New Roman"/>
                <w:color w:val="000000"/>
                <w:sz w:val="20"/>
                <w:szCs w:val="20"/>
                <w:lang w:eastAsia="pl-PL"/>
              </w:rPr>
              <w:t>kalistenika</w:t>
            </w:r>
            <w:proofErr w:type="spellEnd"/>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Za pętlą autobusową przy ul. F. Filipowicza.</w:t>
            </w:r>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budowę wielofunkcyjnego toru do jazdy na rowerach, rolkach, hulajnogach, deskorolkach oraz park do </w:t>
            </w:r>
            <w:proofErr w:type="spellStart"/>
            <w:r w:rsidRPr="00674E26">
              <w:rPr>
                <w:rFonts w:ascii="Times New Roman" w:eastAsia="Times New Roman" w:hAnsi="Times New Roman" w:cs="Times New Roman"/>
                <w:color w:val="000000"/>
                <w:sz w:val="20"/>
                <w:szCs w:val="20"/>
                <w:lang w:eastAsia="pl-PL"/>
              </w:rPr>
              <w:t>kalisteniki</w:t>
            </w:r>
            <w:proofErr w:type="spellEnd"/>
            <w:r w:rsidRPr="00674E26">
              <w:rPr>
                <w:rFonts w:ascii="Times New Roman" w:eastAsia="Times New Roman" w:hAnsi="Times New Roman" w:cs="Times New Roman"/>
                <w:color w:val="000000"/>
                <w:sz w:val="20"/>
                <w:szCs w:val="20"/>
                <w:lang w:eastAsia="pl-PL"/>
              </w:rPr>
              <w:t xml:space="preserve">/ </w:t>
            </w:r>
            <w:proofErr w:type="spellStart"/>
            <w:r w:rsidRPr="00674E26">
              <w:rPr>
                <w:rFonts w:ascii="Times New Roman" w:eastAsia="Times New Roman" w:hAnsi="Times New Roman" w:cs="Times New Roman"/>
                <w:color w:val="000000"/>
                <w:sz w:val="20"/>
                <w:szCs w:val="20"/>
                <w:lang w:eastAsia="pl-PL"/>
              </w:rPr>
              <w:t>streetworkoutu</w:t>
            </w:r>
            <w:proofErr w:type="spellEnd"/>
            <w:r w:rsidRPr="00674E26">
              <w:rPr>
                <w:rFonts w:ascii="Times New Roman" w:eastAsia="Times New Roman" w:hAnsi="Times New Roman" w:cs="Times New Roman"/>
                <w:color w:val="000000"/>
                <w:sz w:val="20"/>
                <w:szCs w:val="20"/>
                <w:lang w:eastAsia="pl-PL"/>
              </w:rPr>
              <w:t>. Obiekt będzie wyposażony w oświetlenie, miejsca wypoczynku, małą architekturę, oraz tereny zielone.</w:t>
            </w:r>
          </w:p>
        </w:tc>
        <w:tc>
          <w:tcPr>
            <w:tcW w:w="1330" w:type="dxa"/>
            <w:tcBorders>
              <w:top w:val="nil"/>
              <w:left w:val="nil"/>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880 000,00 </w:t>
            </w:r>
          </w:p>
        </w:tc>
        <w:tc>
          <w:tcPr>
            <w:tcW w:w="5727"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3 uchwały*. Wskazana nieruchomość stanowi samodzielny teren inwestycyjny. W studium uwarunkowań i kierunków zagospodarowania przestrzennego miasta Białystok działka nr 30/38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22 określona została jako teren aktywności gospodarczej.</w:t>
            </w:r>
          </w:p>
        </w:tc>
      </w:tr>
      <w:tr w:rsidR="00DF5F63" w:rsidRPr="00674E26" w:rsidTr="00F54AE2">
        <w:trPr>
          <w:trHeight w:val="3102"/>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lastRenderedPageBreak/>
              <w:t>7.</w:t>
            </w:r>
          </w:p>
        </w:tc>
        <w:tc>
          <w:tcPr>
            <w:tcW w:w="2485"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Kompleks sportowo- rekreacyjny "PRZY ZUSIE"</w:t>
            </w:r>
          </w:p>
        </w:tc>
        <w:tc>
          <w:tcPr>
            <w:tcW w:w="214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Róg ul. kard. S. Wyszyńskiego i ul. Młynowej</w:t>
            </w:r>
          </w:p>
        </w:tc>
        <w:tc>
          <w:tcPr>
            <w:tcW w:w="268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budowę kompleksu sportowo-rekreacyjnego, w skład którego wchodzą boiska wielofunkcyjne do gry w piłkę, plac zabaw dla dzieci i młodzieży oraz park wśród zieleni wraz z małą architekturą.</w:t>
            </w:r>
          </w:p>
        </w:tc>
        <w:tc>
          <w:tcPr>
            <w:tcW w:w="133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 </w:t>
            </w:r>
            <w:r w:rsidRPr="00674E26">
              <w:rPr>
                <w:rFonts w:ascii="Times New Roman" w:eastAsia="Times New Roman" w:hAnsi="Times New Roman" w:cs="Times New Roman"/>
                <w:color w:val="000000"/>
                <w:sz w:val="20"/>
                <w:szCs w:val="20"/>
                <w:lang w:eastAsia="pl-PL"/>
              </w:rPr>
              <w:t xml:space="preserve">900 000,00 </w:t>
            </w:r>
          </w:p>
        </w:tc>
        <w:tc>
          <w:tcPr>
            <w:tcW w:w="5727"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2 i 3 uchwały*. Część działek nr 841/1 i 842/1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11 stanowi przedmiot użyczenia na czas nieoznaczony pod urządzenie tymczasowego parkingu oraz drogi przeciwpożarowej. Ponadto w stosunku do działek nr: 912/4, 912/6, 891/2, 894, 895, 912/2, 913/4, 914/1, 916/2, 917/2, 967/2, 772/2, 773/4, 774, 814/3, 814/5, 815/2, 896, 628/2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11 toczy się postępowanie w sprawie ich sprzedaży. W stosunku do działki nr 849/2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11 toczy się postępowanie w sprawie regulacji stanu prawnego. Dodatkowo, część terenu przeznaczona jest w planie miejscowym pod plac, stanowi cmentarz żydowski i jest już urządzony </w:t>
            </w:r>
            <w:proofErr w:type="spellStart"/>
            <w:r w:rsidRPr="00674E26">
              <w:rPr>
                <w:rFonts w:ascii="Times New Roman" w:eastAsia="Times New Roman" w:hAnsi="Times New Roman" w:cs="Times New Roman"/>
                <w:color w:val="000000"/>
                <w:sz w:val="20"/>
                <w:szCs w:val="20"/>
                <w:lang w:eastAsia="pl-PL"/>
              </w:rPr>
              <w:t>stosowniedo</w:t>
            </w:r>
            <w:proofErr w:type="spellEnd"/>
            <w:r w:rsidRPr="00674E26">
              <w:rPr>
                <w:rFonts w:ascii="Times New Roman" w:eastAsia="Times New Roman" w:hAnsi="Times New Roman" w:cs="Times New Roman"/>
                <w:color w:val="000000"/>
                <w:sz w:val="20"/>
                <w:szCs w:val="20"/>
                <w:lang w:eastAsia="pl-PL"/>
              </w:rPr>
              <w:t xml:space="preserve"> charakteru tego miejsca. Częściowo w planach miejscowych teren przeznaczony jest pod zabudowę, parkingi i drogi publiczne.</w:t>
            </w:r>
          </w:p>
        </w:tc>
      </w:tr>
      <w:tr w:rsidR="00DF5F63" w:rsidRPr="00674E26" w:rsidTr="00DF5F63">
        <w:trPr>
          <w:trHeight w:val="3150"/>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8.</w:t>
            </w:r>
          </w:p>
        </w:tc>
        <w:tc>
          <w:tcPr>
            <w:tcW w:w="2485"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Tor wrotkarski</w:t>
            </w:r>
          </w:p>
        </w:tc>
        <w:tc>
          <w:tcPr>
            <w:tcW w:w="214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Róg ulic B. Krzywoustego i W. Wysockiego</w:t>
            </w:r>
          </w:p>
        </w:tc>
        <w:tc>
          <w:tcPr>
            <w:tcW w:w="268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utworzenie miejsca przeznaczonego do jazdy na rolkach i wrotkach wraz z małą architekturą i oświetleniem. Tor zewnętrzny będzie przeznaczony do jazdy szybkiej na rolkach, a wewnętrzna płyta do uprawiania jazdy na wrotkach, doskonalenia jazdy na rolkach, wrotkach, slalomu, czy gry drużynowej </w:t>
            </w:r>
            <w:proofErr w:type="spellStart"/>
            <w:r w:rsidRPr="00674E26">
              <w:rPr>
                <w:rFonts w:ascii="Times New Roman" w:eastAsia="Times New Roman" w:hAnsi="Times New Roman" w:cs="Times New Roman"/>
                <w:color w:val="000000"/>
                <w:sz w:val="20"/>
                <w:szCs w:val="20"/>
                <w:lang w:eastAsia="pl-PL"/>
              </w:rPr>
              <w:t>roller</w:t>
            </w:r>
            <w:proofErr w:type="spellEnd"/>
            <w:r w:rsidRPr="00674E26">
              <w:rPr>
                <w:rFonts w:ascii="Times New Roman" w:eastAsia="Times New Roman" w:hAnsi="Times New Roman" w:cs="Times New Roman"/>
                <w:color w:val="000000"/>
                <w:sz w:val="20"/>
                <w:szCs w:val="20"/>
                <w:lang w:eastAsia="pl-PL"/>
              </w:rPr>
              <w:t xml:space="preserve"> derby.</w:t>
            </w:r>
          </w:p>
        </w:tc>
        <w:tc>
          <w:tcPr>
            <w:tcW w:w="133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998 550,00 </w:t>
            </w:r>
          </w:p>
        </w:tc>
        <w:tc>
          <w:tcPr>
            <w:tcW w:w="5727"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nie spełnia wymogu określonego w § 6 pkt 2 uchwały*. Prowadzone jest postępowanie w przedmiocie sprzedaży wskazanej działki.</w:t>
            </w:r>
          </w:p>
        </w:tc>
      </w:tr>
      <w:tr w:rsidR="00DF5F63" w:rsidRPr="00674E26" w:rsidTr="00DF5F63">
        <w:trPr>
          <w:trHeight w:val="2865"/>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9.</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Modernizacja Placu Polskich Sił Zbrojnych na Zachodzie w Białymstoku</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Plac Polskich Sił Zbrojnych na Zachodzie (w pobliżu ul. M. Skłodowskiej-Curie)</w:t>
            </w:r>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modernizację Placu Polskich Sił Zbrojnych na Zachodzie: wymianę nawierzchni bitumicznej na kostkę kamienną i betonową, przebudowę oświetlenia, a także umieszczenie tablic informacyjnych.  </w:t>
            </w:r>
          </w:p>
        </w:tc>
        <w:tc>
          <w:tcPr>
            <w:tcW w:w="133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995 000,00 </w:t>
            </w:r>
          </w:p>
        </w:tc>
        <w:tc>
          <w:tcPr>
            <w:tcW w:w="5727"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2 uchwały*.  Działka nr 1823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11 posiada nieuregulowany stan prawny. </w:t>
            </w:r>
            <w:r w:rsidRPr="00674E26">
              <w:rPr>
                <w:rFonts w:ascii="Times New Roman" w:eastAsia="Times New Roman" w:hAnsi="Times New Roman" w:cs="Times New Roman"/>
                <w:color w:val="000000"/>
                <w:sz w:val="20"/>
                <w:szCs w:val="20"/>
                <w:lang w:eastAsia="pl-PL"/>
              </w:rPr>
              <w:br/>
              <w:t>Proponowany zakres projektu obejmuje elementy takie jak maszt flagowy oraz znicz gazowy, mające stanowić integralną część istniejącego pomnika, w związku z czym każda zmiana wymaga uzyskania zgody autora pomnika. Istnieje potencjalne niebezpieczeństwo wystąpienia niekontrolowanego wycieku paliwa gazowego ze znicza oraz niebezpieczeństwo jakie stwarza otwarty ogień umieszczony na otwartej przestrzeni publicznej. Ponadto wprowadzenie w bezpośrednim sąsiedztwie pomnika elementu wysokiego masztu, zakłóciłoby ład przestrzenny w obrębie pomnika.</w:t>
            </w:r>
          </w:p>
        </w:tc>
      </w:tr>
      <w:tr w:rsidR="00DF5F63" w:rsidRPr="00674E26" w:rsidTr="00F54AE2">
        <w:trPr>
          <w:trHeight w:val="3385"/>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lastRenderedPageBreak/>
              <w:t>10.</w:t>
            </w:r>
          </w:p>
        </w:tc>
        <w:tc>
          <w:tcPr>
            <w:tcW w:w="2485"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"Baśnie i legendy białostockie" - wydanie płyty z piosenkami wraz z ilustrowanym śpiewnikiem</w:t>
            </w:r>
          </w:p>
        </w:tc>
        <w:tc>
          <w:tcPr>
            <w:tcW w:w="214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nie dotyczy</w:t>
            </w:r>
          </w:p>
        </w:tc>
        <w:tc>
          <w:tcPr>
            <w:tcW w:w="268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wydanie płyty z piosenkami wraz z ilustrowanym śpiewnikiem. Celem projektu jest przybliżenie dzieciom i dorosłym historii miasta.</w:t>
            </w:r>
          </w:p>
        </w:tc>
        <w:tc>
          <w:tcPr>
            <w:tcW w:w="133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   </w:t>
            </w:r>
            <w:r w:rsidRPr="00674E26">
              <w:rPr>
                <w:rFonts w:ascii="Times New Roman" w:eastAsia="Times New Roman" w:hAnsi="Times New Roman" w:cs="Times New Roman"/>
                <w:color w:val="000000"/>
                <w:sz w:val="20"/>
                <w:szCs w:val="20"/>
                <w:lang w:eastAsia="pl-PL"/>
              </w:rPr>
              <w:t xml:space="preserve">25 000,00 </w:t>
            </w:r>
          </w:p>
        </w:tc>
        <w:tc>
          <w:tcPr>
            <w:tcW w:w="5727"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ust. 6 uchwały*. Wydawnictwa podobnego rodzaju były w ciągu ostatnich pięciu lat przygotowywane, wydawane i popularyzowane przez Miasto Białystok i miejskie instytucje kultury, m.in. w 2015 r. Białostocki Teatr Lalek wydał ilustrowaną książkę Marty </w:t>
            </w:r>
            <w:proofErr w:type="spellStart"/>
            <w:r w:rsidRPr="00674E26">
              <w:rPr>
                <w:rFonts w:ascii="Times New Roman" w:eastAsia="Times New Roman" w:hAnsi="Times New Roman" w:cs="Times New Roman"/>
                <w:color w:val="000000"/>
                <w:sz w:val="20"/>
                <w:szCs w:val="20"/>
                <w:lang w:eastAsia="pl-PL"/>
              </w:rPr>
              <w:t>Guśniowskiej</w:t>
            </w:r>
            <w:proofErr w:type="spellEnd"/>
            <w:r w:rsidRPr="00674E26">
              <w:rPr>
                <w:rFonts w:ascii="Times New Roman" w:eastAsia="Times New Roman" w:hAnsi="Times New Roman" w:cs="Times New Roman"/>
                <w:color w:val="000000"/>
                <w:sz w:val="20"/>
                <w:szCs w:val="20"/>
                <w:lang w:eastAsia="pl-PL"/>
              </w:rPr>
              <w:t xml:space="preserve"> pt. "Piosenki do zwiedzania" zawierającą utwory muzyczne opowiadające o ciekawych miejscach Białegostoku, wraz z płytą, wykonywane przez aktorów teatru. Na zlecenie Miasta wydano "Śledzik w Białymstoku" – publikację o ważnych miejscach w Białymstoku, skierowaną do najmłodszych, zawierającą krzyżówki, łamigłówki, naklejki. W 2020 r. ze stypendium Prezydenta Miasta Białegostoku ukazały się opowiadania związane z legendami miasta</w:t>
            </w:r>
            <w:r w:rsidR="00F54AE2">
              <w:rPr>
                <w:rFonts w:ascii="Times New Roman" w:eastAsia="Times New Roman" w:hAnsi="Times New Roman" w:cs="Times New Roman"/>
                <w:color w:val="000000"/>
                <w:sz w:val="20"/>
                <w:szCs w:val="20"/>
                <w:lang w:eastAsia="pl-PL"/>
              </w:rPr>
              <w:br/>
            </w:r>
            <w:r w:rsidRPr="00674E26">
              <w:rPr>
                <w:rFonts w:ascii="Times New Roman" w:eastAsia="Times New Roman" w:hAnsi="Times New Roman" w:cs="Times New Roman"/>
                <w:color w:val="000000"/>
                <w:sz w:val="20"/>
                <w:szCs w:val="20"/>
                <w:lang w:eastAsia="pl-PL"/>
              </w:rPr>
              <w:t xml:space="preserve">i Podlasia pt. "Wuj Krasnolud na Podlasiu". Projekt jako cykl jest kontynuowany w roku bieżącym, także ze środków miasta. </w:t>
            </w:r>
          </w:p>
        </w:tc>
      </w:tr>
      <w:tr w:rsidR="00674E26" w:rsidRPr="00674E26" w:rsidTr="00DF5F63">
        <w:trPr>
          <w:trHeight w:val="2490"/>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11.</w:t>
            </w:r>
          </w:p>
        </w:tc>
        <w:tc>
          <w:tcPr>
            <w:tcW w:w="2485"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Drugie życie liści - kompostowniki w parkach miejskich</w:t>
            </w:r>
          </w:p>
        </w:tc>
        <w:tc>
          <w:tcPr>
            <w:tcW w:w="214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Park Antoniuk przy ul. Wierzbowej, Park Centralny przy ul. K. Kalinowskiego, Bulwary Kościałkowskiego</w:t>
            </w:r>
          </w:p>
        </w:tc>
        <w:tc>
          <w:tcPr>
            <w:tcW w:w="268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zakup i ustawienie na terenie parków miejskich pojemników do kompostowania odpadów organicznych.</w:t>
            </w:r>
          </w:p>
        </w:tc>
        <w:tc>
          <w:tcPr>
            <w:tcW w:w="133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  </w:t>
            </w:r>
            <w:r w:rsidRPr="00674E26">
              <w:rPr>
                <w:rFonts w:ascii="Times New Roman" w:eastAsia="Times New Roman" w:hAnsi="Times New Roman" w:cs="Times New Roman"/>
                <w:color w:val="000000"/>
                <w:sz w:val="20"/>
                <w:szCs w:val="20"/>
                <w:lang w:eastAsia="pl-PL"/>
              </w:rPr>
              <w:t xml:space="preserve">15 000,00 </w:t>
            </w:r>
          </w:p>
        </w:tc>
        <w:tc>
          <w:tcPr>
            <w:tcW w:w="5727" w:type="dxa"/>
            <w:tcBorders>
              <w:top w:val="single" w:sz="4" w:space="0" w:color="auto"/>
              <w:left w:val="nil"/>
              <w:bottom w:val="single" w:sz="4" w:space="0" w:color="auto"/>
              <w:right w:val="single" w:sz="4" w:space="0" w:color="auto"/>
            </w:tcBorders>
            <w:shd w:val="clear" w:color="000000" w:fill="FFFFFF"/>
            <w:hideMark/>
          </w:tcPr>
          <w:p w:rsid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nie spełnia wymogu określonego w § 6 pkt 6 oraz § 10 ust.1 pkt 2 uchwały*. Miasto Białystok od lat prowadzi akcję jesiennego niewygrabiania liści w niektórych parkach miejskich. Takie postępowanie przyczynia się do wzrostu składników pokarmowych gleby i zwiększenia różnorodności biologicznej. Jest to jeden ze sposobów ograniczania ilości odpadów zielonych. Wygrabiane wiosną liście są zagospodarowywane przez administratorów terenów do produkcji ziemi kompostowej. Ponadto ilość liści w parkach wymagałaby ustawienia dużej liczby kompostowników na jednym terenie, co wpłynie negatywnie na aspekt wizualny parków miejskich.</w:t>
            </w:r>
          </w:p>
          <w:p w:rsidR="00F54AE2" w:rsidRPr="00674E26" w:rsidRDefault="00F54AE2" w:rsidP="00674E26">
            <w:pPr>
              <w:spacing w:after="0" w:line="240" w:lineRule="auto"/>
              <w:rPr>
                <w:rFonts w:ascii="Times New Roman" w:eastAsia="Times New Roman" w:hAnsi="Times New Roman" w:cs="Times New Roman"/>
                <w:color w:val="000000"/>
                <w:sz w:val="20"/>
                <w:szCs w:val="20"/>
                <w:lang w:eastAsia="pl-PL"/>
              </w:rPr>
            </w:pPr>
          </w:p>
        </w:tc>
      </w:tr>
      <w:tr w:rsidR="00DF5F63" w:rsidRPr="00674E26" w:rsidTr="00DF5F63">
        <w:trPr>
          <w:trHeight w:val="5355"/>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lastRenderedPageBreak/>
              <w:t>12.</w:t>
            </w:r>
          </w:p>
        </w:tc>
        <w:tc>
          <w:tcPr>
            <w:tcW w:w="2485"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Pole do gry w </w:t>
            </w:r>
            <w:proofErr w:type="spellStart"/>
            <w:r w:rsidRPr="00674E26">
              <w:rPr>
                <w:rFonts w:ascii="Times New Roman" w:eastAsia="Times New Roman" w:hAnsi="Times New Roman" w:cs="Times New Roman"/>
                <w:color w:val="000000"/>
                <w:sz w:val="20"/>
                <w:szCs w:val="20"/>
                <w:lang w:eastAsia="pl-PL"/>
              </w:rPr>
              <w:t>discgolf</w:t>
            </w:r>
            <w:proofErr w:type="spellEnd"/>
          </w:p>
        </w:tc>
        <w:tc>
          <w:tcPr>
            <w:tcW w:w="214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Aleja </w:t>
            </w:r>
            <w:proofErr w:type="spellStart"/>
            <w:r w:rsidRPr="00674E26">
              <w:rPr>
                <w:rFonts w:ascii="Times New Roman" w:eastAsia="Times New Roman" w:hAnsi="Times New Roman" w:cs="Times New Roman"/>
                <w:color w:val="000000"/>
                <w:sz w:val="20"/>
                <w:szCs w:val="20"/>
                <w:lang w:eastAsia="pl-PL"/>
              </w:rPr>
              <w:t>Ambientowa</w:t>
            </w:r>
            <w:proofErr w:type="spellEnd"/>
            <w:r w:rsidRPr="00674E26">
              <w:rPr>
                <w:rFonts w:ascii="Times New Roman" w:eastAsia="Times New Roman" w:hAnsi="Times New Roman" w:cs="Times New Roman"/>
                <w:color w:val="000000"/>
                <w:sz w:val="20"/>
                <w:szCs w:val="20"/>
                <w:lang w:eastAsia="pl-PL"/>
              </w:rPr>
              <w:t>, ul. 11 Listopada, ul. Zwierzyniecka lub teren między oczyszczalnią a blokami przy ul. Atłasowej (Produkcyjnej)</w:t>
            </w:r>
          </w:p>
        </w:tc>
        <w:tc>
          <w:tcPr>
            <w:tcW w:w="268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stworzenie pola do gry w </w:t>
            </w:r>
            <w:proofErr w:type="spellStart"/>
            <w:r w:rsidRPr="00674E26">
              <w:rPr>
                <w:rFonts w:ascii="Times New Roman" w:eastAsia="Times New Roman" w:hAnsi="Times New Roman" w:cs="Times New Roman"/>
                <w:color w:val="000000"/>
                <w:sz w:val="20"/>
                <w:szCs w:val="20"/>
                <w:lang w:eastAsia="pl-PL"/>
              </w:rPr>
              <w:t>discgolfa</w:t>
            </w:r>
            <w:proofErr w:type="spellEnd"/>
            <w:r w:rsidRPr="00674E26">
              <w:rPr>
                <w:rFonts w:ascii="Times New Roman" w:eastAsia="Times New Roman" w:hAnsi="Times New Roman" w:cs="Times New Roman"/>
                <w:color w:val="000000"/>
                <w:sz w:val="20"/>
                <w:szCs w:val="20"/>
                <w:lang w:eastAsia="pl-PL"/>
              </w:rPr>
              <w:t>, złożonego z kosza, pola do gry oraz miejsca do rzutu dyskiem.</w:t>
            </w:r>
          </w:p>
        </w:tc>
        <w:tc>
          <w:tcPr>
            <w:tcW w:w="133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 </w:t>
            </w:r>
            <w:r w:rsidRPr="00674E26">
              <w:rPr>
                <w:rFonts w:ascii="Times New Roman" w:eastAsia="Times New Roman" w:hAnsi="Times New Roman" w:cs="Times New Roman"/>
                <w:color w:val="000000"/>
                <w:sz w:val="20"/>
                <w:szCs w:val="20"/>
                <w:lang w:eastAsia="pl-PL"/>
              </w:rPr>
              <w:t xml:space="preserve"> 29 000,00 </w:t>
            </w:r>
          </w:p>
        </w:tc>
        <w:tc>
          <w:tcPr>
            <w:tcW w:w="5727" w:type="dxa"/>
            <w:tcBorders>
              <w:top w:val="single" w:sz="4" w:space="0" w:color="auto"/>
              <w:left w:val="single" w:sz="4" w:space="0" w:color="auto"/>
              <w:bottom w:val="single" w:sz="4" w:space="0" w:color="auto"/>
              <w:right w:val="single" w:sz="4" w:space="0" w:color="auto"/>
            </w:tcBorders>
            <w:shd w:val="clear" w:color="000000" w:fill="FFFFFF"/>
            <w:hideMark/>
          </w:tcPr>
          <w:p w:rsid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3 uchwały*. Miejscowy plan zagospodarowania przestrzennego  obejmujący działki nr 964/7, 964/4,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Mickiewicza dopuszcza lokalizację terenowych urządzeń rekreacyjnych i dydaktycznych oraz obiektów małej architektury (miejsca zorganizowanego wypoczynku, place zabaw z urządzeniami sportowo-zabawowymi, ławki, kosze na odpady, elementy oświetleniowe itp.). Z uwagi na fakt, iż wskazany obszar stanowi zwarty kompleks leśny objęty ochroną, </w:t>
            </w:r>
            <w:r>
              <w:rPr>
                <w:rFonts w:ascii="Times New Roman" w:eastAsia="Times New Roman" w:hAnsi="Times New Roman" w:cs="Times New Roman"/>
                <w:color w:val="000000"/>
                <w:sz w:val="20"/>
                <w:szCs w:val="20"/>
                <w:lang w:eastAsia="pl-PL"/>
              </w:rPr>
              <w:t xml:space="preserve">  </w:t>
            </w:r>
            <w:r w:rsidRPr="00674E26">
              <w:rPr>
                <w:rFonts w:ascii="Times New Roman" w:eastAsia="Times New Roman" w:hAnsi="Times New Roman" w:cs="Times New Roman"/>
                <w:color w:val="000000"/>
                <w:sz w:val="20"/>
                <w:szCs w:val="20"/>
                <w:lang w:eastAsia="pl-PL"/>
              </w:rPr>
              <w:t xml:space="preserve">a charakter proponowanej do realizacji gry terenowej wymaga w większości otwartych terenów, to wskazana lokalizacja nie jest odpowiednia do tego typu sportu. Teren między oczyszczalnią a blokami przy ul. Atłasowej (dz. nr 66/2, 67/6, 67/11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w:t>
            </w:r>
            <w:proofErr w:type="spellStart"/>
            <w:r w:rsidRPr="00674E26">
              <w:rPr>
                <w:rFonts w:ascii="Times New Roman" w:eastAsia="Times New Roman" w:hAnsi="Times New Roman" w:cs="Times New Roman"/>
                <w:color w:val="000000"/>
                <w:sz w:val="20"/>
                <w:szCs w:val="20"/>
                <w:lang w:eastAsia="pl-PL"/>
              </w:rPr>
              <w:t>Bacieczki</w:t>
            </w:r>
            <w:proofErr w:type="spellEnd"/>
            <w:r w:rsidRPr="00674E26">
              <w:rPr>
                <w:rFonts w:ascii="Times New Roman" w:eastAsia="Times New Roman" w:hAnsi="Times New Roman" w:cs="Times New Roman"/>
                <w:color w:val="000000"/>
                <w:sz w:val="20"/>
                <w:szCs w:val="20"/>
                <w:lang w:eastAsia="pl-PL"/>
              </w:rPr>
              <w:t xml:space="preserve">) nie jest objęty planem miejscowym. Na mocy uchwały intencyjnej nr XV/147/07 przystąpiono do opracowania projektu takiego planu dla części osiedla </w:t>
            </w:r>
            <w:proofErr w:type="spellStart"/>
            <w:r w:rsidRPr="00674E26">
              <w:rPr>
                <w:rFonts w:ascii="Times New Roman" w:eastAsia="Times New Roman" w:hAnsi="Times New Roman" w:cs="Times New Roman"/>
                <w:color w:val="000000"/>
                <w:sz w:val="20"/>
                <w:szCs w:val="20"/>
                <w:lang w:eastAsia="pl-PL"/>
              </w:rPr>
              <w:t>Bacieczki</w:t>
            </w:r>
            <w:proofErr w:type="spellEnd"/>
            <w:r w:rsidRPr="00674E26">
              <w:rPr>
                <w:rFonts w:ascii="Times New Roman" w:eastAsia="Times New Roman" w:hAnsi="Times New Roman" w:cs="Times New Roman"/>
                <w:color w:val="000000"/>
                <w:sz w:val="20"/>
                <w:szCs w:val="20"/>
                <w:lang w:eastAsia="pl-PL"/>
              </w:rPr>
              <w:t>. Zaproponowane działki stanowią jeden z nielicznych tak dużych terenów gminnych w obszarze miasta, który może być wykorzystany m.in. pod realizację zadań własnych gminy. Aktualnie analizowane są możliwości realizacji jednej z inwestycji miejskich na tym terenie. Część wskazanego terenu obejmującego fragmenty działek nr 67/6 i 67/11 może stanowić samodzielny teren inwestycyjny (zgodnie ze Studium są to tereny aktywności gospodarczej). Teren był rozpatrywany również jako teren zastępczy pod ogrody działkowe.</w:t>
            </w:r>
          </w:p>
          <w:p w:rsidR="00F54AE2" w:rsidRPr="00674E26" w:rsidRDefault="00F54AE2" w:rsidP="00674E26">
            <w:pPr>
              <w:spacing w:after="0" w:line="240" w:lineRule="auto"/>
              <w:rPr>
                <w:rFonts w:ascii="Times New Roman" w:eastAsia="Times New Roman" w:hAnsi="Times New Roman" w:cs="Times New Roman"/>
                <w:color w:val="000000"/>
                <w:sz w:val="20"/>
                <w:szCs w:val="20"/>
                <w:lang w:eastAsia="pl-PL"/>
              </w:rPr>
            </w:pPr>
          </w:p>
        </w:tc>
      </w:tr>
      <w:tr w:rsidR="00DF5F63" w:rsidRPr="00674E26" w:rsidTr="00DF5F63">
        <w:trPr>
          <w:trHeight w:val="5379"/>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13.</w:t>
            </w:r>
          </w:p>
        </w:tc>
        <w:tc>
          <w:tcPr>
            <w:tcW w:w="2485"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Podlasie jest nasze!</w:t>
            </w:r>
          </w:p>
        </w:tc>
        <w:tc>
          <w:tcPr>
            <w:tcW w:w="214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nie dotyczy</w:t>
            </w:r>
          </w:p>
        </w:tc>
        <w:tc>
          <w:tcPr>
            <w:tcW w:w="268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W ramach projektu przewidziano założenie Fundacji "Podlasie jest nasze", której zadaniem będzie wdrożenie oraz obsługa platformy internetowej umożliwiającej mieszkańcom Białegostoku konsultowanie, opiniowanie, zgłaszanie pomysłów, obywatelskie reagowanie zgodnie z zasadą Liquid </w:t>
            </w:r>
            <w:proofErr w:type="spellStart"/>
            <w:r w:rsidRPr="00674E26">
              <w:rPr>
                <w:rFonts w:ascii="Times New Roman" w:eastAsia="Times New Roman" w:hAnsi="Times New Roman" w:cs="Times New Roman"/>
                <w:color w:val="000000"/>
                <w:sz w:val="20"/>
                <w:szCs w:val="20"/>
                <w:lang w:eastAsia="pl-PL"/>
              </w:rPr>
              <w:t>Democracy</w:t>
            </w:r>
            <w:proofErr w:type="spellEnd"/>
            <w:r w:rsidRPr="00674E26">
              <w:rPr>
                <w:rFonts w:ascii="Times New Roman" w:eastAsia="Times New Roman" w:hAnsi="Times New Roman" w:cs="Times New Roman"/>
                <w:color w:val="000000"/>
                <w:sz w:val="20"/>
                <w:szCs w:val="20"/>
                <w:lang w:eastAsia="pl-PL"/>
              </w:rPr>
              <w:t>, a przede wszystkim możliwość przegłosowywania przez obywateli uchwał. W ramach projektu organizowane będą wyjazdy służbowe po całej Europie, gdzie stosuje się zasadę LD. Przewiduje się zatrudnienie pracownika do weryfikacji obywateli (inspektor danych osobowych), administratora oraz księgową.</w:t>
            </w:r>
          </w:p>
        </w:tc>
        <w:tc>
          <w:tcPr>
            <w:tcW w:w="133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150 000,00 </w:t>
            </w:r>
          </w:p>
        </w:tc>
        <w:tc>
          <w:tcPr>
            <w:tcW w:w="5727"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2, 4 i 6 uchwały*.  Projekt narusza ustawę z dnia 27 sierpnia 2009 r. </w:t>
            </w:r>
            <w:r>
              <w:rPr>
                <w:rFonts w:ascii="Times New Roman" w:eastAsia="Times New Roman" w:hAnsi="Times New Roman" w:cs="Times New Roman"/>
                <w:color w:val="000000"/>
                <w:sz w:val="20"/>
                <w:szCs w:val="20"/>
                <w:lang w:eastAsia="pl-PL"/>
              </w:rPr>
              <w:br/>
            </w:r>
            <w:r w:rsidRPr="00674E26">
              <w:rPr>
                <w:rFonts w:ascii="Times New Roman" w:eastAsia="Times New Roman" w:hAnsi="Times New Roman" w:cs="Times New Roman"/>
                <w:color w:val="000000"/>
                <w:sz w:val="20"/>
                <w:szCs w:val="20"/>
                <w:lang w:eastAsia="pl-PL"/>
              </w:rPr>
              <w:t>o finansach publicznych, ustawę z dnia 8 marca 1990 r. o samorządzie gminnym oraz uchwałę Nr XXXVI/590/17 Rady Miasta Białystok z dnia 29 maja 2017 r. w sprawie wprowadzenia Regulaminu konsultacji społecznych Miasta Białystok, ustawę z dnia 11 września 2019 r. prawo zamówień publicznych, ustawę z dnia 24 kwietnia 2003 r. o działalności pożytku publicznego i wolontariacie. Projekt znacząco narusza zasadę konkurencyjności beneficjentów środków publicznych. Niedopuszczalne jest wskazywanie w opisie projektu podmiotu, który miałby zostać wykonawcą projektu (pkt 5 Załącznika nr 1 do uchwały*). Ponadto jako niegospodarne należy uznać proponowane przez Wnioskodawcę wyjazdy służbowe po Europie za kwotę 150 tys. zł oraz koszty utrzymania projektu w kolejnych latach (określone w granicach 50–200 tys. zł/rocznie), będące niewspółmiernie wysokie w stosunku do wartości jednostkowej projektu.</w:t>
            </w:r>
          </w:p>
        </w:tc>
      </w:tr>
      <w:tr w:rsidR="00DF5F63" w:rsidRPr="00674E26" w:rsidTr="00DF5F63">
        <w:trPr>
          <w:trHeight w:val="2025"/>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14.</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Przejście dla pieszych na ul. Sienkiewicza</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ul. H. Sienkiewicza (fragment między al. J. Piłsudskiego a Rynkiem Kościuszki)</w:t>
            </w:r>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budowę przejścia dla pieszych na ul. H. Sienkiewicza.</w:t>
            </w:r>
          </w:p>
        </w:tc>
        <w:tc>
          <w:tcPr>
            <w:tcW w:w="133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  </w:t>
            </w:r>
            <w:r w:rsidRPr="00674E26">
              <w:rPr>
                <w:rFonts w:ascii="Times New Roman" w:eastAsia="Times New Roman" w:hAnsi="Times New Roman" w:cs="Times New Roman"/>
                <w:color w:val="000000"/>
                <w:sz w:val="20"/>
                <w:szCs w:val="20"/>
                <w:lang w:eastAsia="pl-PL"/>
              </w:rPr>
              <w:t xml:space="preserve">50 000,00 </w:t>
            </w:r>
          </w:p>
        </w:tc>
        <w:tc>
          <w:tcPr>
            <w:tcW w:w="5727"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nie spełnia wymogu określonego  w § 6 pkt 6 uchwały *. Ulica Sienkiewicza jest drogą o dużym natężeniu ruchu. Odległość między przejściami dla pieszych wynosi ok. 290 m, nie zasadne jest wyznaczenie kolejnego przejścia dla pieszych, gdyż w niewielkiej odległości od przystanku autobusowego znajduje się bezpieczne przejście z sygnalizacją świetlną. Ze względów bezpieczeństwa nie wyznacza się przejścia dla pieszych przez jezdnie 4-pasmowe.</w:t>
            </w:r>
          </w:p>
        </w:tc>
      </w:tr>
      <w:tr w:rsidR="00DF5F63" w:rsidRPr="00674E26" w:rsidTr="00DF5F63">
        <w:trPr>
          <w:trHeight w:val="2205"/>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15.</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Zakątek Tawuł (park kieszonkowy)</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u zbiegu ul. KEN i ul. H. Kołłątaja</w:t>
            </w:r>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zagospodarowanie terenu z wytyczonymi ścieżkami spacerowymi, ławkami oraz oświetleniem. Park kieszonkowy ma być zbiorem krzewów liściastych, różnych grup i odmian tawuł.</w:t>
            </w:r>
          </w:p>
        </w:tc>
        <w:tc>
          <w:tcPr>
            <w:tcW w:w="1330" w:type="dxa"/>
            <w:tcBorders>
              <w:top w:val="nil"/>
              <w:left w:val="nil"/>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 </w:t>
            </w:r>
            <w:r w:rsidRPr="00674E26">
              <w:rPr>
                <w:rFonts w:ascii="Times New Roman" w:eastAsia="Times New Roman" w:hAnsi="Times New Roman" w:cs="Times New Roman"/>
                <w:color w:val="000000"/>
                <w:sz w:val="20"/>
                <w:szCs w:val="20"/>
                <w:lang w:eastAsia="pl-PL"/>
              </w:rPr>
              <w:t xml:space="preserve">495 000,00 </w:t>
            </w:r>
          </w:p>
        </w:tc>
        <w:tc>
          <w:tcPr>
            <w:tcW w:w="5727"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3 uchwały *. Działka nr 1462/4,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01 objęta jest innym zadaniem planowanym do realizacji przez Miasto Białystok, pn. Lawendowy park kieszonkowy z terminem realizacji 2021/2022 r.</w:t>
            </w:r>
          </w:p>
        </w:tc>
      </w:tr>
      <w:tr w:rsidR="00DF5F63" w:rsidRPr="00674E26" w:rsidTr="00DF5F63">
        <w:trPr>
          <w:trHeight w:val="1545"/>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16.</w:t>
            </w:r>
          </w:p>
        </w:tc>
        <w:tc>
          <w:tcPr>
            <w:tcW w:w="2485"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Poetycki Park Kieszonkowy</w:t>
            </w:r>
          </w:p>
        </w:tc>
        <w:tc>
          <w:tcPr>
            <w:tcW w:w="214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ul. W. Szymborskiej </w:t>
            </w:r>
          </w:p>
        </w:tc>
        <w:tc>
          <w:tcPr>
            <w:tcW w:w="268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utworzenie parku kieszonkowego z nowymi nasadzeniami i elementami małej architektury.</w:t>
            </w:r>
          </w:p>
        </w:tc>
        <w:tc>
          <w:tcPr>
            <w:tcW w:w="133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 </w:t>
            </w:r>
            <w:r w:rsidRPr="00674E26">
              <w:rPr>
                <w:rFonts w:ascii="Times New Roman" w:eastAsia="Times New Roman" w:hAnsi="Times New Roman" w:cs="Times New Roman"/>
                <w:color w:val="000000"/>
                <w:sz w:val="20"/>
                <w:szCs w:val="20"/>
                <w:lang w:eastAsia="pl-PL"/>
              </w:rPr>
              <w:t xml:space="preserve">500 000,00 </w:t>
            </w:r>
          </w:p>
        </w:tc>
        <w:tc>
          <w:tcPr>
            <w:tcW w:w="5727"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nie spełnia wymogu określonego  w § 6 pkt 2 uchwały *. Toczy się postępowanie przed Komisją Regulacyjną ds. Gmin Wyznaniowych Żydowskich w sprawie przeniesienia na rzecz Związku Gmin Wyznaniowych Żydowskich w RP obszaru gruntu wchodzącego w skład nieruchomości oznaczonej uprzednio numerem 1590/13.</w:t>
            </w:r>
          </w:p>
        </w:tc>
      </w:tr>
      <w:tr w:rsidR="00DF5F63" w:rsidRPr="00674E26" w:rsidTr="00DF5F63">
        <w:trPr>
          <w:trHeight w:val="1530"/>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17.</w:t>
            </w:r>
          </w:p>
        </w:tc>
        <w:tc>
          <w:tcPr>
            <w:tcW w:w="2485"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Kładka Sopoćki</w:t>
            </w:r>
          </w:p>
        </w:tc>
        <w:tc>
          <w:tcPr>
            <w:tcW w:w="214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Teren pomiędzy Placem bł. Ks. M. Sopoćki i al. Tysiąclecia P.P.</w:t>
            </w:r>
          </w:p>
        </w:tc>
        <w:tc>
          <w:tcPr>
            <w:tcW w:w="268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budowę kładki nad rz. Białą z prowadzącymi do niej chodnikami i oświetleniem. </w:t>
            </w:r>
          </w:p>
        </w:tc>
        <w:tc>
          <w:tcPr>
            <w:tcW w:w="133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 </w:t>
            </w:r>
            <w:r w:rsidRPr="00674E26">
              <w:rPr>
                <w:rFonts w:ascii="Times New Roman" w:eastAsia="Times New Roman" w:hAnsi="Times New Roman" w:cs="Times New Roman"/>
                <w:color w:val="000000"/>
                <w:sz w:val="20"/>
                <w:szCs w:val="20"/>
                <w:lang w:eastAsia="pl-PL"/>
              </w:rPr>
              <w:t xml:space="preserve">298 500,00 </w:t>
            </w:r>
          </w:p>
        </w:tc>
        <w:tc>
          <w:tcPr>
            <w:tcW w:w="5727"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nie spełnia wymogu określonego  w § 6 pkt 2 uchwały *. Wobec działek nr 693/4 i 692 toczy się postępowanie zwrotowe. Ponadto działki nr 693/4 i 804/5 objęto decyzją Wojewody Podlaskiego  Nr 5/2020 z 7 września 2020 r. o zezwoleniu na realizację inwestycji drogowej. Teren wydzielony pod drogę z ww. nieruchomości stanie się własnością Województwa Podlaskiego.</w:t>
            </w:r>
          </w:p>
        </w:tc>
      </w:tr>
      <w:tr w:rsidR="00DF5F63" w:rsidRPr="00674E26" w:rsidTr="00DF5F63">
        <w:trPr>
          <w:trHeight w:val="1590"/>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18.</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Motylowy Park Kieszonkowy</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ul. Wiejska; teren przy ul. Wiejska 4a, 4b, 6 i ul. M. Kopernika 3a</w:t>
            </w:r>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budowę parku kieszonkowego z typami roślin i elementami wyposażenia nawiązującymi do tematyki motyli. </w:t>
            </w:r>
          </w:p>
        </w:tc>
        <w:tc>
          <w:tcPr>
            <w:tcW w:w="133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490 000,00 </w:t>
            </w:r>
          </w:p>
        </w:tc>
        <w:tc>
          <w:tcPr>
            <w:tcW w:w="5727"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3 uchwały *. Zakres rzeczowy projektu objęty jest innym zadaniem, którego realizacja planowana jest w roku przyszłym i latach następnych, </w:t>
            </w:r>
            <w:r w:rsidR="00DF5F63">
              <w:rPr>
                <w:rFonts w:ascii="Times New Roman" w:eastAsia="Times New Roman" w:hAnsi="Times New Roman" w:cs="Times New Roman"/>
                <w:color w:val="000000"/>
                <w:sz w:val="20"/>
                <w:szCs w:val="20"/>
                <w:lang w:eastAsia="pl-PL"/>
              </w:rPr>
              <w:br/>
            </w:r>
            <w:r w:rsidRPr="00674E26">
              <w:rPr>
                <w:rFonts w:ascii="Times New Roman" w:eastAsia="Times New Roman" w:hAnsi="Times New Roman" w:cs="Times New Roman"/>
                <w:color w:val="000000"/>
                <w:sz w:val="20"/>
                <w:szCs w:val="20"/>
                <w:lang w:eastAsia="pl-PL"/>
              </w:rPr>
              <w:t>tj. rewitalizacją terenów zielonych na osiedlu Bema. Aktualnie trwają prace projektowe. Planowane jest zagospodarowanie terenów zielonych (zieleń urządzona oraz placyk wypoczynkowy).</w:t>
            </w:r>
          </w:p>
        </w:tc>
      </w:tr>
      <w:tr w:rsidR="00DF5F63" w:rsidRPr="00674E26" w:rsidTr="00DF5F63">
        <w:trPr>
          <w:trHeight w:val="4125"/>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19.</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Karetka </w:t>
            </w:r>
            <w:proofErr w:type="spellStart"/>
            <w:r w:rsidRPr="00674E26">
              <w:rPr>
                <w:rFonts w:ascii="Times New Roman" w:eastAsia="Times New Roman" w:hAnsi="Times New Roman" w:cs="Times New Roman"/>
                <w:color w:val="000000"/>
                <w:sz w:val="20"/>
                <w:szCs w:val="20"/>
                <w:lang w:eastAsia="pl-PL"/>
              </w:rPr>
              <w:t>bariatryczna</w:t>
            </w:r>
            <w:proofErr w:type="spellEnd"/>
            <w:r w:rsidRPr="00674E26">
              <w:rPr>
                <w:rFonts w:ascii="Times New Roman" w:eastAsia="Times New Roman" w:hAnsi="Times New Roman" w:cs="Times New Roman"/>
                <w:color w:val="000000"/>
                <w:sz w:val="20"/>
                <w:szCs w:val="20"/>
                <w:lang w:eastAsia="pl-PL"/>
              </w:rPr>
              <w:t xml:space="preserve"> dla Białostoczan z problemem </w:t>
            </w:r>
            <w:r w:rsidR="003C51B9" w:rsidRPr="00674E26">
              <w:rPr>
                <w:rFonts w:ascii="Times New Roman" w:eastAsia="Times New Roman" w:hAnsi="Times New Roman" w:cs="Times New Roman"/>
                <w:color w:val="000000"/>
                <w:sz w:val="20"/>
                <w:szCs w:val="20"/>
                <w:lang w:eastAsia="pl-PL"/>
              </w:rPr>
              <w:t>otyłości</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ul. Poleska 89</w:t>
            </w:r>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zakup ambulansu </w:t>
            </w:r>
            <w:proofErr w:type="spellStart"/>
            <w:r w:rsidRPr="00674E26">
              <w:rPr>
                <w:rFonts w:ascii="Times New Roman" w:eastAsia="Times New Roman" w:hAnsi="Times New Roman" w:cs="Times New Roman"/>
                <w:color w:val="000000"/>
                <w:sz w:val="20"/>
                <w:szCs w:val="20"/>
                <w:lang w:eastAsia="pl-PL"/>
              </w:rPr>
              <w:t>bariatrycznego</w:t>
            </w:r>
            <w:proofErr w:type="spellEnd"/>
            <w:r w:rsidRPr="00674E26">
              <w:rPr>
                <w:rFonts w:ascii="Times New Roman" w:eastAsia="Times New Roman" w:hAnsi="Times New Roman" w:cs="Times New Roman"/>
                <w:color w:val="000000"/>
                <w:sz w:val="20"/>
                <w:szCs w:val="20"/>
                <w:lang w:eastAsia="pl-PL"/>
              </w:rPr>
              <w:t xml:space="preserve"> z wyposażeniem dla Samodzielnego Publicznego Zakładu Opieki Zdrowotnej Wojewódzkiej Stacji Pogotowia Ratunkowego w Białymstoku. Karetka </w:t>
            </w:r>
            <w:proofErr w:type="spellStart"/>
            <w:r w:rsidRPr="00674E26">
              <w:rPr>
                <w:rFonts w:ascii="Times New Roman" w:eastAsia="Times New Roman" w:hAnsi="Times New Roman" w:cs="Times New Roman"/>
                <w:color w:val="000000"/>
                <w:sz w:val="20"/>
                <w:szCs w:val="20"/>
                <w:lang w:eastAsia="pl-PL"/>
              </w:rPr>
              <w:t>bariatryczna</w:t>
            </w:r>
            <w:proofErr w:type="spellEnd"/>
            <w:r w:rsidRPr="00674E26">
              <w:rPr>
                <w:rFonts w:ascii="Times New Roman" w:eastAsia="Times New Roman" w:hAnsi="Times New Roman" w:cs="Times New Roman"/>
                <w:color w:val="000000"/>
                <w:sz w:val="20"/>
                <w:szCs w:val="20"/>
                <w:lang w:eastAsia="pl-PL"/>
              </w:rPr>
              <w:t xml:space="preserve"> przystosowana jest do przewozu osób chorych na otyłość ze szczególnymi potrzebami.</w:t>
            </w:r>
          </w:p>
        </w:tc>
        <w:tc>
          <w:tcPr>
            <w:tcW w:w="133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800 000,00 </w:t>
            </w:r>
          </w:p>
        </w:tc>
        <w:tc>
          <w:tcPr>
            <w:tcW w:w="5727" w:type="dxa"/>
            <w:tcBorders>
              <w:top w:val="nil"/>
              <w:left w:val="nil"/>
              <w:bottom w:val="single" w:sz="4" w:space="0" w:color="auto"/>
              <w:right w:val="single" w:sz="4" w:space="0" w:color="auto"/>
            </w:tcBorders>
            <w:shd w:val="clear" w:color="000000" w:fill="FFFFFF"/>
            <w:hideMark/>
          </w:tcPr>
          <w:p w:rsid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nie spełnia wymogu określonego w § 5 ust.1  uchwały*. Zgodnie z art. 19 ust. 2 ustawy o Państwowym Ratownictwie Medycznym z dnia 8 września 2016 r. planowanie, organizowanie, koordynowanie systemu oraz nadzór nad systemem Państwowego Ratownictwa Medycznego na terenie województwa jest zadaniem wojewody. Wojewoda na podstawie art. 21 ust. 1 ww. ustawy sporządza plan działania systemu PRM. Plan ten stanowi dla dyrektora oddziału wojewódzkiego NFZ podstawę do zawierania umów na wykonywanie medycznych czynności ratunkowych. Zatem zadania związane z organizowaniem systemu Państwowego Ratownictwa Medycznego na ter</w:t>
            </w:r>
            <w:r w:rsidRPr="00674E26">
              <w:rPr>
                <w:rFonts w:ascii="Times New Roman" w:eastAsia="Times New Roman" w:hAnsi="Times New Roman" w:cs="Times New Roman"/>
                <w:sz w:val="20"/>
                <w:szCs w:val="20"/>
                <w:lang w:eastAsia="pl-PL"/>
              </w:rPr>
              <w:t>enie</w:t>
            </w:r>
            <w:r w:rsidRPr="00674E26">
              <w:rPr>
                <w:rFonts w:ascii="Times New Roman" w:eastAsia="Times New Roman" w:hAnsi="Times New Roman" w:cs="Times New Roman"/>
                <w:color w:val="000000"/>
                <w:sz w:val="20"/>
                <w:szCs w:val="20"/>
                <w:lang w:eastAsia="pl-PL"/>
              </w:rPr>
              <w:t xml:space="preserve"> województwa podlaskiego nie są zadaniami własnymi Miasta Białystok. Działania Miasta Białystok w zakresie zdrowia spełniają rolę pomocniczą w stosunku do oferowanych świadczeń zdrowotnych w ramach powszechnego ubezpieczenia zdrowotnego i finansowanych przez płatnika publicznego (NFZ). Stanowią działania uzupełniające względem świadczeń zdrowotnych zapewnianych przez organy do tego powołane, czyli Ministerstwo Zdrowia i NFZ.</w:t>
            </w:r>
          </w:p>
          <w:p w:rsidR="00F54AE2" w:rsidRPr="00674E26" w:rsidRDefault="00F54AE2" w:rsidP="00674E26">
            <w:pPr>
              <w:spacing w:after="0" w:line="240" w:lineRule="auto"/>
              <w:rPr>
                <w:rFonts w:ascii="Times New Roman" w:eastAsia="Times New Roman" w:hAnsi="Times New Roman" w:cs="Times New Roman"/>
                <w:color w:val="000000"/>
                <w:sz w:val="20"/>
                <w:szCs w:val="20"/>
                <w:lang w:eastAsia="pl-PL"/>
              </w:rPr>
            </w:pPr>
          </w:p>
        </w:tc>
      </w:tr>
      <w:tr w:rsidR="00DF5F63" w:rsidRPr="00674E26" w:rsidTr="00DF5F63">
        <w:trPr>
          <w:trHeight w:val="2145"/>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20.</w:t>
            </w:r>
          </w:p>
        </w:tc>
        <w:tc>
          <w:tcPr>
            <w:tcW w:w="2485"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Zielona promenada nad rzeką Białą</w:t>
            </w:r>
          </w:p>
        </w:tc>
        <w:tc>
          <w:tcPr>
            <w:tcW w:w="214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teren pomiędzy al. 1000-lecia Państwa Polskiego, ul. Radzymińską a ul. Sokólską</w:t>
            </w:r>
          </w:p>
        </w:tc>
        <w:tc>
          <w:tcPr>
            <w:tcW w:w="268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utworzenie terenów rekreacyjno-wypoczynkowych ze ścieżką zdrowia, edukacyjną oraz pieszą wzdłuż istniejącej ścieżki rowerowej. Projekt obejmuje także nasadzenie drzew i krzewów.</w:t>
            </w:r>
          </w:p>
        </w:tc>
        <w:tc>
          <w:tcPr>
            <w:tcW w:w="1330"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940 000,00 </w:t>
            </w:r>
          </w:p>
        </w:tc>
        <w:tc>
          <w:tcPr>
            <w:tcW w:w="5727"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nie spełnia wymogu określonego w § 6 pkt 2 i 3 uchwały*. W stosunku do wskazanej w projekcie działce wydano zezwolenie na realizację inwestycji drogowej polegającej na rozbudowie Alei 1000-lecia Państwa Polskiego od ul. Wileńskiej do terenu kolejowego przy ul. Poleskiej. Działka objęta jest postępowaniem zwrotowym.</w:t>
            </w:r>
          </w:p>
        </w:tc>
      </w:tr>
      <w:tr w:rsidR="00DF5F63" w:rsidRPr="00674E26" w:rsidTr="00DF5F63">
        <w:trPr>
          <w:trHeight w:val="2295"/>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21.</w:t>
            </w:r>
          </w:p>
        </w:tc>
        <w:tc>
          <w:tcPr>
            <w:tcW w:w="2485"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Dla mieszkańca i turysty - tramwaj w Białymstoku</w:t>
            </w:r>
          </w:p>
        </w:tc>
        <w:tc>
          <w:tcPr>
            <w:tcW w:w="214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ul. J. Piłsudskiego, ul. Ks. A. Abramowicza, Pl. Niepodległości im. R. Dmowskiego, ul. św. Rocha  </w:t>
            </w:r>
          </w:p>
        </w:tc>
        <w:tc>
          <w:tcPr>
            <w:tcW w:w="268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wybudowanie  fragmentu jednotorowej </w:t>
            </w:r>
            <w:r w:rsidR="003C51B9" w:rsidRPr="00674E26">
              <w:rPr>
                <w:rFonts w:ascii="Times New Roman" w:eastAsia="Times New Roman" w:hAnsi="Times New Roman" w:cs="Times New Roman"/>
                <w:color w:val="000000"/>
                <w:sz w:val="20"/>
                <w:szCs w:val="20"/>
                <w:lang w:eastAsia="pl-PL"/>
              </w:rPr>
              <w:t>linii</w:t>
            </w:r>
            <w:r w:rsidRPr="00674E26">
              <w:rPr>
                <w:rFonts w:ascii="Times New Roman" w:eastAsia="Times New Roman" w:hAnsi="Times New Roman" w:cs="Times New Roman"/>
                <w:color w:val="000000"/>
                <w:sz w:val="20"/>
                <w:szCs w:val="20"/>
                <w:lang w:eastAsia="pl-PL"/>
              </w:rPr>
              <w:t xml:space="preserve"> tramwajowej o długości o długości 160 m i zakup pojazdu szynowego. </w:t>
            </w:r>
          </w:p>
        </w:tc>
        <w:tc>
          <w:tcPr>
            <w:tcW w:w="133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998 400,00 </w:t>
            </w:r>
          </w:p>
        </w:tc>
        <w:tc>
          <w:tcPr>
            <w:tcW w:w="5727"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nie spełnia wymogu określonego w § 6 pkt 6 oraz § 10  ust. 1 pkt 2 uchwały*. Funkcjonująca komunikacja miejsca w wystarczającym stopniu zapewnia połączenia komunikacyjne w obszarze miasta. Nakłady finansowe na realizację linii tramwajowej będą niewspółmiernie wysokie do planowanego rezultatu. Realizacja inwestycji wymaga znaczącej przebudowy układu podstawowego dróg oraz sygnalizacji świetlnej. Niezbędne są również zmiany w zagospodarowaniu terenu, w tym przeznaczenia dużej przestrzeni pod budowę torów i specjalnych przystanków do obsługi pasażerów.</w:t>
            </w:r>
          </w:p>
        </w:tc>
      </w:tr>
      <w:tr w:rsidR="00DF5F63" w:rsidRPr="00674E26" w:rsidTr="00F54AE2">
        <w:trPr>
          <w:trHeight w:val="1491"/>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22.</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Wyrzeźbiony iluzjonista - Jan Modzelewski</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ul. Wasilkowska, skwer doc. W. </w:t>
            </w:r>
            <w:proofErr w:type="spellStart"/>
            <w:r w:rsidRPr="00674E26">
              <w:rPr>
                <w:rFonts w:ascii="Times New Roman" w:eastAsia="Times New Roman" w:hAnsi="Times New Roman" w:cs="Times New Roman"/>
                <w:color w:val="000000"/>
                <w:sz w:val="20"/>
                <w:szCs w:val="20"/>
                <w:lang w:eastAsia="pl-PL"/>
              </w:rPr>
              <w:t>Zankiewicza</w:t>
            </w:r>
            <w:proofErr w:type="spellEnd"/>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zaprojektowanie i wykonanie rzeźby białostockiego iluzjonisty Jana Modzelewskiego. </w:t>
            </w:r>
          </w:p>
        </w:tc>
        <w:tc>
          <w:tcPr>
            <w:tcW w:w="1330" w:type="dxa"/>
            <w:tcBorders>
              <w:top w:val="nil"/>
              <w:left w:val="nil"/>
              <w:bottom w:val="single" w:sz="4" w:space="0" w:color="auto"/>
              <w:right w:val="single" w:sz="4" w:space="0" w:color="auto"/>
            </w:tcBorders>
            <w:shd w:val="clear" w:color="000000" w:fill="FFFFFF"/>
            <w:hideMark/>
          </w:tcPr>
          <w:p w:rsidR="00674E26" w:rsidRPr="00674E26" w:rsidRDefault="003C51B9" w:rsidP="00674E26">
            <w:pPr>
              <w:spacing w:after="0" w:line="240" w:lineRule="auto"/>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w:t>
            </w:r>
            <w:r w:rsidR="00674E26" w:rsidRPr="00674E26">
              <w:rPr>
                <w:rFonts w:ascii="Times New Roman" w:eastAsia="Times New Roman" w:hAnsi="Times New Roman" w:cs="Times New Roman"/>
                <w:sz w:val="20"/>
                <w:szCs w:val="20"/>
                <w:lang w:eastAsia="pl-PL"/>
              </w:rPr>
              <w:t xml:space="preserve">416 000,00 </w:t>
            </w:r>
          </w:p>
        </w:tc>
        <w:tc>
          <w:tcPr>
            <w:tcW w:w="5727"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nie spełnia wymogu określonego w § 6 pkt 6 uchwały*. Wskazana do upamiętnienia osoba nie jest postacią znaną, brak jest jakichkolwiek informacji, publikacji o życiu, działaniu, twórczości, zasługach wskazanej osoby – iluzjonisty Jana Modzelewskiego. Wydatkowanie środków publicznych byłoby więc nieuzasadnione społecznie.</w:t>
            </w:r>
          </w:p>
        </w:tc>
      </w:tr>
      <w:tr w:rsidR="00DF5F63" w:rsidRPr="00674E26" w:rsidTr="00DF5F63">
        <w:trPr>
          <w:trHeight w:val="2295"/>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23.</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Przebudowa skrzyżowania ul. Józefa Chełmońskiego z ul. Kazimierza Wielkiego </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Skrzyżowanie ul. J. Chełmońskiego i ul. K. Wielkiego </w:t>
            </w:r>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przebudowę skrzyżowania umożliwiającego kontynuację przejazdu na wprost z ul. J. Chełmońskiego bez konieczności wykonywania manewrów nawracania.</w:t>
            </w:r>
          </w:p>
        </w:tc>
        <w:tc>
          <w:tcPr>
            <w:tcW w:w="1330" w:type="dxa"/>
            <w:tcBorders>
              <w:top w:val="nil"/>
              <w:left w:val="nil"/>
              <w:bottom w:val="single" w:sz="4" w:space="0" w:color="auto"/>
              <w:right w:val="single" w:sz="4" w:space="0" w:color="auto"/>
            </w:tcBorders>
            <w:shd w:val="clear" w:color="000000" w:fill="FFFFFF"/>
            <w:hideMark/>
          </w:tcPr>
          <w:p w:rsidR="00674E26" w:rsidRPr="00674E26" w:rsidRDefault="003C51B9" w:rsidP="00674E26">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 </w:t>
            </w:r>
            <w:r w:rsidR="00674E26" w:rsidRPr="00674E26">
              <w:rPr>
                <w:rFonts w:ascii="Times New Roman" w:eastAsia="Times New Roman" w:hAnsi="Times New Roman" w:cs="Times New Roman"/>
                <w:color w:val="000000"/>
                <w:sz w:val="20"/>
                <w:szCs w:val="20"/>
                <w:lang w:eastAsia="pl-PL"/>
              </w:rPr>
              <w:t xml:space="preserve">730 000,00 </w:t>
            </w:r>
          </w:p>
        </w:tc>
        <w:tc>
          <w:tcPr>
            <w:tcW w:w="5727"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6 uchwały *. </w:t>
            </w:r>
            <w:r w:rsidR="003C51B9">
              <w:rPr>
                <w:rFonts w:ascii="Times New Roman" w:eastAsia="Times New Roman" w:hAnsi="Times New Roman" w:cs="Times New Roman"/>
                <w:color w:val="000000"/>
                <w:sz w:val="20"/>
                <w:szCs w:val="20"/>
                <w:lang w:eastAsia="pl-PL"/>
              </w:rPr>
              <w:br/>
            </w:r>
            <w:r w:rsidRPr="00674E26">
              <w:rPr>
                <w:rFonts w:ascii="Times New Roman" w:eastAsia="Times New Roman" w:hAnsi="Times New Roman" w:cs="Times New Roman"/>
                <w:color w:val="000000"/>
                <w:sz w:val="20"/>
                <w:szCs w:val="20"/>
                <w:lang w:eastAsia="pl-PL"/>
              </w:rPr>
              <w:t xml:space="preserve">W przedmiotowej lokalizacji ul. J. Chełmońskiego jest ulicą lokalną, natomiast ul. Kazimierza Wielkiego to ulica główna ruchu przyśpieszonego z jezdnią o dużym natężeniu, z  dwoma pasami ruchu w obu kierunkach. Mając na uwadze hierarchizację podstawowego układu drogowego oraz dostępność komunikacyjną </w:t>
            </w:r>
            <w:r w:rsidR="00DF5F63">
              <w:rPr>
                <w:rFonts w:ascii="Times New Roman" w:eastAsia="Times New Roman" w:hAnsi="Times New Roman" w:cs="Times New Roman"/>
                <w:color w:val="000000"/>
                <w:sz w:val="20"/>
                <w:szCs w:val="20"/>
                <w:lang w:eastAsia="pl-PL"/>
              </w:rPr>
              <w:br/>
            </w:r>
            <w:r w:rsidRPr="00674E26">
              <w:rPr>
                <w:rFonts w:ascii="Times New Roman" w:eastAsia="Times New Roman" w:hAnsi="Times New Roman" w:cs="Times New Roman"/>
                <w:color w:val="000000"/>
                <w:sz w:val="20"/>
                <w:szCs w:val="20"/>
                <w:lang w:eastAsia="pl-PL"/>
              </w:rPr>
              <w:t>i przyjęte rozwiązania geometryczne nie zasadna jest przebudowa przedmiotowego skrzyżowania. Aktualne rozwiązanie umożliwia przejazd we wszystkich relacjach.</w:t>
            </w:r>
          </w:p>
        </w:tc>
      </w:tr>
      <w:tr w:rsidR="00DF5F63" w:rsidRPr="00674E26" w:rsidTr="00F54AE2">
        <w:trPr>
          <w:trHeight w:val="3102"/>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24.</w:t>
            </w:r>
          </w:p>
        </w:tc>
        <w:tc>
          <w:tcPr>
            <w:tcW w:w="2485"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Mobilna Biblioteka - </w:t>
            </w:r>
            <w:proofErr w:type="spellStart"/>
            <w:r w:rsidRPr="00674E26">
              <w:rPr>
                <w:rFonts w:ascii="Times New Roman" w:eastAsia="Times New Roman" w:hAnsi="Times New Roman" w:cs="Times New Roman"/>
                <w:color w:val="000000"/>
                <w:sz w:val="20"/>
                <w:szCs w:val="20"/>
                <w:lang w:eastAsia="pl-PL"/>
              </w:rPr>
              <w:t>Book</w:t>
            </w:r>
            <w:proofErr w:type="spellEnd"/>
            <w:r w:rsidRPr="00674E26">
              <w:rPr>
                <w:rFonts w:ascii="Times New Roman" w:eastAsia="Times New Roman" w:hAnsi="Times New Roman" w:cs="Times New Roman"/>
                <w:color w:val="000000"/>
                <w:sz w:val="20"/>
                <w:szCs w:val="20"/>
                <w:lang w:eastAsia="pl-PL"/>
              </w:rPr>
              <w:t xml:space="preserve"> Truck</w:t>
            </w:r>
          </w:p>
        </w:tc>
        <w:tc>
          <w:tcPr>
            <w:tcW w:w="214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nie dotyczy</w:t>
            </w:r>
          </w:p>
        </w:tc>
        <w:tc>
          <w:tcPr>
            <w:tcW w:w="268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zakup furgonetki pełniącej funkcję mobilnej biblioteki wyposażonej w książki, komputer z mobilnym Internetem oraz leżaki, poduchy/pufy do siedzenia.</w:t>
            </w:r>
          </w:p>
        </w:tc>
        <w:tc>
          <w:tcPr>
            <w:tcW w:w="133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sz w:val="20"/>
                <w:szCs w:val="20"/>
                <w:lang w:eastAsia="pl-PL"/>
              </w:rPr>
            </w:pPr>
            <w:r w:rsidRPr="00674E26">
              <w:rPr>
                <w:rFonts w:ascii="Times New Roman" w:eastAsia="Times New Roman" w:hAnsi="Times New Roman" w:cs="Times New Roman"/>
                <w:sz w:val="20"/>
                <w:szCs w:val="20"/>
                <w:lang w:eastAsia="pl-PL"/>
              </w:rPr>
              <w:t xml:space="preserve"> 186 000,00 </w:t>
            </w:r>
          </w:p>
        </w:tc>
        <w:tc>
          <w:tcPr>
            <w:tcW w:w="5727"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4 i 6 oraz § 10 ust.1 pkt 2 uchwały*. Weryfikacja szczegółowa wykazała niedoszacowanie kosztów dotyczących zakupu samochodu typu kamper oraz jego dostosowania do potrzeb związanych z obsługą czytelników. Ponadto, koszty eksploatacji mobilnego punktu stanowią około 30% całkowitej wartości projektu, jest to stosunkowo wysoki koszt w odniesieniu do zakładanych korzyści jego funkcjonowania. Dostrzega się również problemy logistyczne związane z wypożyczeniem i zwrotem wypożyczonych pozycji w mobilnym punkcie. Warunki dotyczące kwalifikacji i umiejętność osób zatrudnionych w </w:t>
            </w:r>
            <w:proofErr w:type="spellStart"/>
            <w:r w:rsidRPr="00674E26">
              <w:rPr>
                <w:rFonts w:ascii="Times New Roman" w:eastAsia="Times New Roman" w:hAnsi="Times New Roman" w:cs="Times New Roman"/>
                <w:color w:val="000000"/>
                <w:sz w:val="20"/>
                <w:szCs w:val="20"/>
                <w:lang w:eastAsia="pl-PL"/>
              </w:rPr>
              <w:t>Book</w:t>
            </w:r>
            <w:proofErr w:type="spellEnd"/>
            <w:r w:rsidRPr="00674E26">
              <w:rPr>
                <w:rFonts w:ascii="Times New Roman" w:eastAsia="Times New Roman" w:hAnsi="Times New Roman" w:cs="Times New Roman"/>
                <w:color w:val="000000"/>
                <w:sz w:val="20"/>
                <w:szCs w:val="20"/>
                <w:lang w:eastAsia="pl-PL"/>
              </w:rPr>
              <w:t xml:space="preserve"> Trucku są trudne do spełnienia. Liczba 600 pozycji do udostępnienia może być niewystarczająca do zaspokojenia potrzeb czytelniczych mieszkańców Miasta.</w:t>
            </w:r>
          </w:p>
        </w:tc>
      </w:tr>
      <w:tr w:rsidR="00DF5F63" w:rsidRPr="00674E26" w:rsidTr="00DF5F63">
        <w:trPr>
          <w:trHeight w:val="2730"/>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25.</w:t>
            </w:r>
          </w:p>
        </w:tc>
        <w:tc>
          <w:tcPr>
            <w:tcW w:w="2485"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Kreatywne boisko przy ulicy Zwierzynieckiej, czyli przyjazne otoczenie</w:t>
            </w:r>
          </w:p>
        </w:tc>
        <w:tc>
          <w:tcPr>
            <w:tcW w:w="214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teren przy ul. Zwierzynieckiej 13 i 15, administracji os. Tysiąc</w:t>
            </w:r>
            <w:r w:rsidR="00DF5F63">
              <w:rPr>
                <w:rFonts w:ascii="Times New Roman" w:eastAsia="Times New Roman" w:hAnsi="Times New Roman" w:cs="Times New Roman"/>
                <w:color w:val="000000"/>
                <w:sz w:val="20"/>
                <w:szCs w:val="20"/>
                <w:lang w:eastAsia="pl-PL"/>
              </w:rPr>
              <w:t xml:space="preserve">lecia Białostockiej Spółdzielni </w:t>
            </w:r>
            <w:r w:rsidRPr="00674E26">
              <w:rPr>
                <w:rFonts w:ascii="Times New Roman" w:eastAsia="Times New Roman" w:hAnsi="Times New Roman" w:cs="Times New Roman"/>
                <w:color w:val="000000"/>
                <w:sz w:val="20"/>
                <w:szCs w:val="20"/>
                <w:lang w:eastAsia="pl-PL"/>
              </w:rPr>
              <w:t xml:space="preserve">Mieszkaniowej i Klubu Milenium przy ul. Mazowieckiej 39d oraz pływalni kameralnej przy ul. Mazowieckiej 39c </w:t>
            </w:r>
          </w:p>
        </w:tc>
        <w:tc>
          <w:tcPr>
            <w:tcW w:w="268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przebudowę boiska - odnowienie nawierzchni, postawienie </w:t>
            </w:r>
            <w:r w:rsidR="003C51B9" w:rsidRPr="00674E26">
              <w:rPr>
                <w:rFonts w:ascii="Times New Roman" w:eastAsia="Times New Roman" w:hAnsi="Times New Roman" w:cs="Times New Roman"/>
                <w:color w:val="000000"/>
                <w:sz w:val="20"/>
                <w:szCs w:val="20"/>
                <w:lang w:eastAsia="pl-PL"/>
              </w:rPr>
              <w:t>półokrągłej</w:t>
            </w:r>
            <w:r w:rsidRPr="00674E26">
              <w:rPr>
                <w:rFonts w:ascii="Times New Roman" w:eastAsia="Times New Roman" w:hAnsi="Times New Roman" w:cs="Times New Roman"/>
                <w:color w:val="000000"/>
                <w:sz w:val="20"/>
                <w:szCs w:val="20"/>
                <w:lang w:eastAsia="pl-PL"/>
              </w:rPr>
              <w:t xml:space="preserve"> trybuny oraz zagospodarowanie przestrzeni w sposób pozwalający na różnorodne formy wypoczynku. </w:t>
            </w:r>
          </w:p>
        </w:tc>
        <w:tc>
          <w:tcPr>
            <w:tcW w:w="133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400 000,00 </w:t>
            </w:r>
          </w:p>
        </w:tc>
        <w:tc>
          <w:tcPr>
            <w:tcW w:w="5727"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5 ust. 2 i § 6 pkt 2 uchwały*. Działki nr 1873/37, 1873/38 oraz 1844/1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11 stanowią własność Białostockiej Spółdzielni Mieszkaniowej, działka nr 1886/30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11 znajduje się w użytkowaniu wieczystym Białostockiej Spółdzielni Mieszkaniowej.</w:t>
            </w:r>
          </w:p>
        </w:tc>
      </w:tr>
      <w:tr w:rsidR="00DF5F63" w:rsidRPr="00674E26" w:rsidTr="00DF5F63">
        <w:trPr>
          <w:trHeight w:val="2280"/>
        </w:trPr>
        <w:tc>
          <w:tcPr>
            <w:tcW w:w="948" w:type="dxa"/>
            <w:tcBorders>
              <w:top w:val="nil"/>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26.</w:t>
            </w:r>
          </w:p>
        </w:tc>
        <w:tc>
          <w:tcPr>
            <w:tcW w:w="2485"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proofErr w:type="spellStart"/>
            <w:r w:rsidRPr="00674E26">
              <w:rPr>
                <w:rFonts w:ascii="Times New Roman" w:eastAsia="Times New Roman" w:hAnsi="Times New Roman" w:cs="Times New Roman"/>
                <w:color w:val="000000"/>
                <w:sz w:val="20"/>
                <w:szCs w:val="20"/>
                <w:lang w:eastAsia="pl-PL"/>
              </w:rPr>
              <w:t>Skatepark</w:t>
            </w:r>
            <w:proofErr w:type="spellEnd"/>
            <w:r w:rsidRPr="00674E26">
              <w:rPr>
                <w:rFonts w:ascii="Times New Roman" w:eastAsia="Times New Roman" w:hAnsi="Times New Roman" w:cs="Times New Roman"/>
                <w:color w:val="000000"/>
                <w:sz w:val="20"/>
                <w:szCs w:val="20"/>
                <w:lang w:eastAsia="pl-PL"/>
              </w:rPr>
              <w:t xml:space="preserve"> przy ul. ks. J. Popiełuszki</w:t>
            </w:r>
          </w:p>
        </w:tc>
        <w:tc>
          <w:tcPr>
            <w:tcW w:w="214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ul. ks. J. Popiełuszki</w:t>
            </w:r>
          </w:p>
        </w:tc>
        <w:tc>
          <w:tcPr>
            <w:tcW w:w="2680" w:type="dxa"/>
            <w:tcBorders>
              <w:top w:val="nil"/>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budowę </w:t>
            </w:r>
            <w:proofErr w:type="spellStart"/>
            <w:r w:rsidRPr="00674E26">
              <w:rPr>
                <w:rFonts w:ascii="Times New Roman" w:eastAsia="Times New Roman" w:hAnsi="Times New Roman" w:cs="Times New Roman"/>
                <w:color w:val="000000"/>
                <w:sz w:val="20"/>
                <w:szCs w:val="20"/>
                <w:lang w:eastAsia="pl-PL"/>
              </w:rPr>
              <w:t>skateparku</w:t>
            </w:r>
            <w:proofErr w:type="spellEnd"/>
            <w:r w:rsidRPr="00674E26">
              <w:rPr>
                <w:rFonts w:ascii="Times New Roman" w:eastAsia="Times New Roman" w:hAnsi="Times New Roman" w:cs="Times New Roman"/>
                <w:color w:val="000000"/>
                <w:sz w:val="20"/>
                <w:szCs w:val="20"/>
                <w:lang w:eastAsia="pl-PL"/>
              </w:rPr>
              <w:t xml:space="preserve"> dla dzieci i młodzieży.</w:t>
            </w:r>
          </w:p>
        </w:tc>
        <w:tc>
          <w:tcPr>
            <w:tcW w:w="1330" w:type="dxa"/>
            <w:tcBorders>
              <w:top w:val="nil"/>
              <w:left w:val="nil"/>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500 000,00 </w:t>
            </w:r>
          </w:p>
        </w:tc>
        <w:tc>
          <w:tcPr>
            <w:tcW w:w="5727" w:type="dxa"/>
            <w:tcBorders>
              <w:top w:val="nil"/>
              <w:left w:val="nil"/>
              <w:bottom w:val="single" w:sz="4" w:space="0" w:color="auto"/>
              <w:right w:val="single" w:sz="4" w:space="0" w:color="auto"/>
            </w:tcBorders>
            <w:shd w:val="clear" w:color="000000" w:fill="FFFFFF"/>
            <w:hideMark/>
          </w:tcPr>
          <w:p w:rsid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3 oraz § 10 ust. 4 uchwały*. Poproszono Projektodawcę o uzupełnienie wniosku w zakresie szczegółowego opisu oraz niezbędnej zmiany zapisu dot. dostosowania obiektu do potrzeb osób niepełnosprawnych. Z uwagi, iż niemożliwa jest realizacja projektu na wskazanych działkach (3175/1 i 1692/47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w:t>
            </w:r>
            <w:proofErr w:type="spellStart"/>
            <w:r w:rsidRPr="00674E26">
              <w:rPr>
                <w:rFonts w:ascii="Times New Roman" w:eastAsia="Times New Roman" w:hAnsi="Times New Roman" w:cs="Times New Roman"/>
                <w:color w:val="000000"/>
                <w:sz w:val="20"/>
                <w:szCs w:val="20"/>
                <w:lang w:eastAsia="pl-PL"/>
              </w:rPr>
              <w:t>Starosielce</w:t>
            </w:r>
            <w:proofErr w:type="spellEnd"/>
            <w:r w:rsidRPr="00674E26">
              <w:rPr>
                <w:rFonts w:ascii="Times New Roman" w:eastAsia="Times New Roman" w:hAnsi="Times New Roman" w:cs="Times New Roman"/>
                <w:color w:val="000000"/>
                <w:sz w:val="20"/>
                <w:szCs w:val="20"/>
                <w:lang w:eastAsia="pl-PL"/>
              </w:rPr>
              <w:t xml:space="preserve"> Płd.) zaproponowano Projektodawcy sąsiednią działkę – nr 1677 oraz zmianę nazwy projektu celem dopasowania jej do faktycznej lokalizacji obiektu. Projektodawca nie dokonał zmian, w związku z czym projekt został oceniony negatywnie.</w:t>
            </w:r>
          </w:p>
          <w:p w:rsidR="00F54AE2" w:rsidRPr="00674E26" w:rsidRDefault="00F54AE2" w:rsidP="00674E26">
            <w:pPr>
              <w:spacing w:after="0" w:line="240" w:lineRule="auto"/>
              <w:rPr>
                <w:rFonts w:ascii="Times New Roman" w:eastAsia="Times New Roman" w:hAnsi="Times New Roman" w:cs="Times New Roman"/>
                <w:color w:val="000000"/>
                <w:sz w:val="20"/>
                <w:szCs w:val="20"/>
                <w:lang w:eastAsia="pl-PL"/>
              </w:rPr>
            </w:pPr>
          </w:p>
        </w:tc>
      </w:tr>
      <w:tr w:rsidR="00DF5F63" w:rsidRPr="00674E26" w:rsidTr="00DF5F63">
        <w:trPr>
          <w:trHeight w:val="3900"/>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27.</w:t>
            </w:r>
          </w:p>
        </w:tc>
        <w:tc>
          <w:tcPr>
            <w:tcW w:w="2485"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Białostockie </w:t>
            </w:r>
            <w:proofErr w:type="spellStart"/>
            <w:r w:rsidRPr="00674E26">
              <w:rPr>
                <w:rFonts w:ascii="Times New Roman" w:eastAsia="Times New Roman" w:hAnsi="Times New Roman" w:cs="Times New Roman"/>
                <w:color w:val="000000"/>
                <w:sz w:val="20"/>
                <w:szCs w:val="20"/>
                <w:lang w:eastAsia="pl-PL"/>
              </w:rPr>
              <w:t>żuberki</w:t>
            </w:r>
            <w:proofErr w:type="spellEnd"/>
            <w:r w:rsidRPr="00674E26">
              <w:rPr>
                <w:rFonts w:ascii="Times New Roman" w:eastAsia="Times New Roman" w:hAnsi="Times New Roman" w:cs="Times New Roman"/>
                <w:color w:val="000000"/>
                <w:sz w:val="20"/>
                <w:szCs w:val="20"/>
                <w:lang w:eastAsia="pl-PL"/>
              </w:rPr>
              <w:t xml:space="preserve"> - rzeźby żubra o tematycznym charakterze rozmieszczone w różnych częściach miasta</w:t>
            </w:r>
          </w:p>
        </w:tc>
        <w:tc>
          <w:tcPr>
            <w:tcW w:w="214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Brama Wielka "Gryf" przy Pałacu Branickich, Aleja Bluesa, Park Planty skrzyżowanie Bulwarów Kościałkowskiego i Kielanowskiego, przy budynku Urzędu Marszałkowskiego ul. Kilińskiego, przy Pałacyku Gościnnym Branickich przy ul. Kilińskiego, przy Ratuszu Miejskim oraz przy kamienicy przy ul. Lipowej 27</w:t>
            </w:r>
          </w:p>
        </w:tc>
        <w:tc>
          <w:tcPr>
            <w:tcW w:w="268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polega na wykonaniu siedmiu rzeźb z brązu lub innego trwałego materiału, o wielkości max. 50 cm, przedstawiających dorosłe osobniki żubra: Żubr Hetman, Żubr Bluesman, Żubr Botanik, Żubr Podlasiak, Żubr Turysta, Żubr Trębacz, Żubr Fotograf. W ramach projektu zakłada się również wykonanie broszur informacyjnych oraz strony internetowej w celu ułatwienia beneficjentom odnalezienia lokalizacji rzeźb.</w:t>
            </w:r>
          </w:p>
        </w:tc>
        <w:tc>
          <w:tcPr>
            <w:tcW w:w="133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70 500,00 </w:t>
            </w:r>
          </w:p>
        </w:tc>
        <w:tc>
          <w:tcPr>
            <w:tcW w:w="5727"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6 uchwały*. Miasto Białystok realizuje projekt pt. „Białystok </w:t>
            </w:r>
            <w:proofErr w:type="spellStart"/>
            <w:r w:rsidRPr="00674E26">
              <w:rPr>
                <w:rFonts w:ascii="Times New Roman" w:eastAsia="Times New Roman" w:hAnsi="Times New Roman" w:cs="Times New Roman"/>
                <w:color w:val="000000"/>
                <w:sz w:val="20"/>
                <w:szCs w:val="20"/>
                <w:lang w:eastAsia="pl-PL"/>
              </w:rPr>
              <w:t>WidziMisie</w:t>
            </w:r>
            <w:proofErr w:type="spellEnd"/>
            <w:r w:rsidRPr="00674E26">
              <w:rPr>
                <w:rFonts w:ascii="Times New Roman" w:eastAsia="Times New Roman" w:hAnsi="Times New Roman" w:cs="Times New Roman"/>
                <w:color w:val="000000"/>
                <w:sz w:val="20"/>
                <w:szCs w:val="20"/>
                <w:lang w:eastAsia="pl-PL"/>
              </w:rPr>
              <w:t xml:space="preserve">”, polegający na usytuowaniu w przestrzeni miejskiej 8 figurek misiów-niedźwiadków. Zaproponowane miejsca ulokowania figurek </w:t>
            </w:r>
            <w:proofErr w:type="spellStart"/>
            <w:r w:rsidRPr="00674E26">
              <w:rPr>
                <w:rFonts w:ascii="Times New Roman" w:eastAsia="Times New Roman" w:hAnsi="Times New Roman" w:cs="Times New Roman"/>
                <w:color w:val="000000"/>
                <w:sz w:val="20"/>
                <w:szCs w:val="20"/>
                <w:lang w:eastAsia="pl-PL"/>
              </w:rPr>
              <w:t>żuberków</w:t>
            </w:r>
            <w:proofErr w:type="spellEnd"/>
            <w:r w:rsidRPr="00674E26">
              <w:rPr>
                <w:rFonts w:ascii="Times New Roman" w:eastAsia="Times New Roman" w:hAnsi="Times New Roman" w:cs="Times New Roman"/>
                <w:color w:val="000000"/>
                <w:sz w:val="20"/>
                <w:szCs w:val="20"/>
                <w:lang w:eastAsia="pl-PL"/>
              </w:rPr>
              <w:t xml:space="preserve"> są zbliżone do tych, w których mają pojawić się misie. Zgłoszone figurki </w:t>
            </w:r>
            <w:proofErr w:type="spellStart"/>
            <w:r w:rsidRPr="00674E26">
              <w:rPr>
                <w:rFonts w:ascii="Times New Roman" w:eastAsia="Times New Roman" w:hAnsi="Times New Roman" w:cs="Times New Roman"/>
                <w:color w:val="000000"/>
                <w:sz w:val="20"/>
                <w:szCs w:val="20"/>
                <w:lang w:eastAsia="pl-PL"/>
              </w:rPr>
              <w:t>żuberków</w:t>
            </w:r>
            <w:proofErr w:type="spellEnd"/>
            <w:r w:rsidRPr="00674E26">
              <w:rPr>
                <w:rFonts w:ascii="Times New Roman" w:eastAsia="Times New Roman" w:hAnsi="Times New Roman" w:cs="Times New Roman"/>
                <w:color w:val="000000"/>
                <w:sz w:val="20"/>
                <w:szCs w:val="20"/>
                <w:lang w:eastAsia="pl-PL"/>
              </w:rPr>
              <w:t xml:space="preserve"> uwzględniają podobne cechy misiów: Miś Bluesman - Żubr Bluesman, Miś Hetman - Żubr Hetman. Z uwagi, iż podobny projekt jest w trakcie realizacji, nie należy powielać w odmiennej formie wcześniejszego pomysłu. Ponadto symbol żubra nierozerwalnie związany jest z województwem podlaskim oraz browarem Dojlidy, a nie z samym Miastem Białystok.</w:t>
            </w:r>
          </w:p>
        </w:tc>
      </w:tr>
      <w:tr w:rsidR="00674E26" w:rsidRPr="00674E26" w:rsidTr="00DF5F63">
        <w:trPr>
          <w:trHeight w:val="3060"/>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28.</w:t>
            </w:r>
          </w:p>
        </w:tc>
        <w:tc>
          <w:tcPr>
            <w:tcW w:w="2485" w:type="dxa"/>
            <w:tcBorders>
              <w:top w:val="single" w:sz="4" w:space="0" w:color="auto"/>
              <w:left w:val="nil"/>
              <w:bottom w:val="single" w:sz="4" w:space="0" w:color="auto"/>
              <w:right w:val="single" w:sz="4" w:space="0" w:color="auto"/>
            </w:tcBorders>
            <w:shd w:val="clear" w:color="auto" w:fill="auto"/>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Pomnik Romana Dmowskiego - twórcy odzyskania niepodległości Polski</w:t>
            </w:r>
          </w:p>
        </w:tc>
        <w:tc>
          <w:tcPr>
            <w:tcW w:w="2140" w:type="dxa"/>
            <w:tcBorders>
              <w:top w:val="single" w:sz="4" w:space="0" w:color="auto"/>
              <w:left w:val="nil"/>
              <w:bottom w:val="single" w:sz="4" w:space="0" w:color="auto"/>
              <w:right w:val="single" w:sz="4" w:space="0" w:color="auto"/>
            </w:tcBorders>
            <w:shd w:val="clear" w:color="auto" w:fill="auto"/>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Plac Niepodległości im. Romana Dmowskiego (skwer między ul. ks. A. Abramowicza a Al. J. Piłsudskiego)</w:t>
            </w:r>
          </w:p>
        </w:tc>
        <w:tc>
          <w:tcPr>
            <w:tcW w:w="2680" w:type="dxa"/>
            <w:tcBorders>
              <w:top w:val="single" w:sz="4" w:space="0" w:color="auto"/>
              <w:left w:val="nil"/>
              <w:bottom w:val="single" w:sz="4" w:space="0" w:color="auto"/>
              <w:right w:val="single" w:sz="4" w:space="0" w:color="auto"/>
            </w:tcBorders>
            <w:shd w:val="clear" w:color="auto" w:fill="auto"/>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budowę pomnika Romana Dmowskiego - architekta polskiej niepodległości wraz z płaskorzeźbą orła, wstęgą z napisem edukacyjnym oraz zagospodarowaniem fragmentu otoczenia pomnika.</w:t>
            </w:r>
          </w:p>
        </w:tc>
        <w:tc>
          <w:tcPr>
            <w:tcW w:w="1330" w:type="dxa"/>
            <w:tcBorders>
              <w:top w:val="single" w:sz="4" w:space="0" w:color="auto"/>
              <w:left w:val="nil"/>
              <w:bottom w:val="single" w:sz="4" w:space="0" w:color="auto"/>
              <w:right w:val="single" w:sz="4" w:space="0" w:color="auto"/>
            </w:tcBorders>
            <w:shd w:val="clear" w:color="auto" w:fill="auto"/>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698 000,00 </w:t>
            </w:r>
          </w:p>
        </w:tc>
        <w:tc>
          <w:tcPr>
            <w:tcW w:w="5727" w:type="dxa"/>
            <w:tcBorders>
              <w:top w:val="single" w:sz="4" w:space="0" w:color="auto"/>
              <w:left w:val="nil"/>
              <w:bottom w:val="single" w:sz="4" w:space="0" w:color="auto"/>
              <w:right w:val="single" w:sz="4" w:space="0" w:color="auto"/>
            </w:tcBorders>
            <w:shd w:val="clear" w:color="auto" w:fill="auto"/>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6  uchwały*. We wniosku zaproponowano lokalizację </w:t>
            </w:r>
            <w:r w:rsidR="003C51B9">
              <w:rPr>
                <w:rFonts w:ascii="Times New Roman" w:eastAsia="Times New Roman" w:hAnsi="Times New Roman" w:cs="Times New Roman"/>
                <w:color w:val="000000"/>
                <w:sz w:val="20"/>
                <w:szCs w:val="20"/>
                <w:lang w:eastAsia="pl-PL"/>
              </w:rPr>
              <w:t xml:space="preserve">pomnika na Placu Niepodległości </w:t>
            </w:r>
            <w:r w:rsidRPr="00674E26">
              <w:rPr>
                <w:rFonts w:ascii="Times New Roman" w:eastAsia="Times New Roman" w:hAnsi="Times New Roman" w:cs="Times New Roman"/>
                <w:color w:val="000000"/>
                <w:sz w:val="20"/>
                <w:szCs w:val="20"/>
                <w:lang w:eastAsia="pl-PL"/>
              </w:rPr>
              <w:t>im. Romana Dmowskiego. Jest to przestrzeń miejska, która wraz z istotnym układem drogowym nie została ukształtowana i zagospodarowana w docelowej formie, przez co, wskazanie konkretnego miejsca pod realizację zadania w chwili obecnej nie jest możliwe. Lokalizacja pomnika powinna wpisywać się w otoczenie i uwzględniać wszelkie uwarunkowania, które obecnie nie są możliwe do sprecyzowania. Realizacja pomnika możliwa będzie po ukształtowaniu docelowej formy i funkcji Placu Niepodległości. Realizacja projektu w chwili obecnej jest nieuzasadniona, gdyż w przyszłości prawdopodobnie pomnik musiałby zmienić swoją lokalizację.</w:t>
            </w:r>
          </w:p>
        </w:tc>
      </w:tr>
      <w:tr w:rsidR="00DF5F63" w:rsidRPr="00674E26" w:rsidTr="0091694A">
        <w:trPr>
          <w:trHeight w:val="5795"/>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29.</w:t>
            </w:r>
          </w:p>
        </w:tc>
        <w:tc>
          <w:tcPr>
            <w:tcW w:w="2485"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proofErr w:type="spellStart"/>
            <w:r w:rsidRPr="00674E26">
              <w:rPr>
                <w:rFonts w:ascii="Times New Roman" w:eastAsia="Times New Roman" w:hAnsi="Times New Roman" w:cs="Times New Roman"/>
                <w:color w:val="000000"/>
                <w:sz w:val="20"/>
                <w:szCs w:val="20"/>
                <w:lang w:eastAsia="pl-PL"/>
              </w:rPr>
              <w:t>Pumptrack</w:t>
            </w:r>
            <w:proofErr w:type="spellEnd"/>
            <w:r w:rsidRPr="00674E26">
              <w:rPr>
                <w:rFonts w:ascii="Times New Roman" w:eastAsia="Times New Roman" w:hAnsi="Times New Roman" w:cs="Times New Roman"/>
                <w:color w:val="000000"/>
                <w:sz w:val="20"/>
                <w:szCs w:val="20"/>
                <w:lang w:eastAsia="pl-PL"/>
              </w:rPr>
              <w:t xml:space="preserve"> - ogólnodostępny tor rekreacyjno-sportowy dla rowerów, hulajnóg, deskorolek i rolek</w:t>
            </w:r>
          </w:p>
        </w:tc>
        <w:tc>
          <w:tcPr>
            <w:tcW w:w="214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ul. Pogodna lub alternatywnie: ul. </w:t>
            </w:r>
            <w:proofErr w:type="spellStart"/>
            <w:r w:rsidRPr="00674E26">
              <w:rPr>
                <w:rFonts w:ascii="Times New Roman" w:eastAsia="Times New Roman" w:hAnsi="Times New Roman" w:cs="Times New Roman"/>
                <w:color w:val="000000"/>
                <w:sz w:val="20"/>
                <w:szCs w:val="20"/>
                <w:lang w:eastAsia="pl-PL"/>
              </w:rPr>
              <w:t>Bacieczki</w:t>
            </w:r>
            <w:proofErr w:type="spellEnd"/>
            <w:r w:rsidRPr="00674E26">
              <w:rPr>
                <w:rFonts w:ascii="Times New Roman" w:eastAsia="Times New Roman" w:hAnsi="Times New Roman" w:cs="Times New Roman"/>
                <w:color w:val="000000"/>
                <w:sz w:val="20"/>
                <w:szCs w:val="20"/>
                <w:lang w:eastAsia="pl-PL"/>
              </w:rPr>
              <w:t xml:space="preserve"> lub ul. Sikorskiego przy pętli autobusowej</w:t>
            </w:r>
          </w:p>
        </w:tc>
        <w:tc>
          <w:tcPr>
            <w:tcW w:w="268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zakłada budowę toru typu </w:t>
            </w:r>
            <w:proofErr w:type="spellStart"/>
            <w:r w:rsidRPr="00674E26">
              <w:rPr>
                <w:rFonts w:ascii="Times New Roman" w:eastAsia="Times New Roman" w:hAnsi="Times New Roman" w:cs="Times New Roman"/>
                <w:color w:val="000000"/>
                <w:sz w:val="20"/>
                <w:szCs w:val="20"/>
                <w:lang w:eastAsia="pl-PL"/>
              </w:rPr>
              <w:t>pumptrack</w:t>
            </w:r>
            <w:proofErr w:type="spellEnd"/>
            <w:r w:rsidRPr="00674E26">
              <w:rPr>
                <w:rFonts w:ascii="Times New Roman" w:eastAsia="Times New Roman" w:hAnsi="Times New Roman" w:cs="Times New Roman"/>
                <w:color w:val="000000"/>
                <w:sz w:val="20"/>
                <w:szCs w:val="20"/>
                <w:lang w:eastAsia="pl-PL"/>
              </w:rPr>
              <w:t xml:space="preserve"> wyposażonego w oświetlenie, miejsca wypoczynku, małą architekturę oraz tereny zielone.</w:t>
            </w:r>
          </w:p>
        </w:tc>
        <w:tc>
          <w:tcPr>
            <w:tcW w:w="1330"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  949 806,00 </w:t>
            </w:r>
          </w:p>
        </w:tc>
        <w:tc>
          <w:tcPr>
            <w:tcW w:w="5727" w:type="dxa"/>
            <w:tcBorders>
              <w:top w:val="single" w:sz="4" w:space="0" w:color="auto"/>
              <w:left w:val="single" w:sz="4" w:space="0" w:color="auto"/>
              <w:bottom w:val="single" w:sz="4" w:space="0" w:color="auto"/>
              <w:right w:val="single" w:sz="4" w:space="0" w:color="auto"/>
            </w:tcBorders>
            <w:shd w:val="clear" w:color="000000" w:fill="FFFFFF"/>
            <w:hideMark/>
          </w:tcPr>
          <w:p w:rsidR="00674E26" w:rsidRPr="00674E26" w:rsidRDefault="00674E26" w:rsidP="00674E26">
            <w:pPr>
              <w:spacing w:after="24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Projekt nie spełnia wymogu określonego w § 6 pkt 2 i 3 uchwały*. Lokalizacja 1: działka nr 184/79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8 nie jest objęta miejscowym planem zagospodarowania przestrzennego. Zgodnie ze Studium uwarunkowań i kierunków zagospodarowania przestrzennego Miasta Białegostoku jest to teren podstawowego systemu przyrodniczego Białegostoku, który szczególnie powinien być chroniony przed zabudową. Ponadto działka objęta jest postępowaniem zwrotowym. Dz</w:t>
            </w:r>
            <w:r w:rsidR="00DF5F63">
              <w:rPr>
                <w:rFonts w:ascii="Times New Roman" w:eastAsia="Times New Roman" w:hAnsi="Times New Roman" w:cs="Times New Roman"/>
                <w:color w:val="000000"/>
                <w:sz w:val="20"/>
                <w:szCs w:val="20"/>
                <w:lang w:eastAsia="pl-PL"/>
              </w:rPr>
              <w:t xml:space="preserve">iałka nr 184/56 </w:t>
            </w:r>
            <w:proofErr w:type="spellStart"/>
            <w:r w:rsidR="00DF5F63">
              <w:rPr>
                <w:rFonts w:ascii="Times New Roman" w:eastAsia="Times New Roman" w:hAnsi="Times New Roman" w:cs="Times New Roman"/>
                <w:color w:val="000000"/>
                <w:sz w:val="20"/>
                <w:szCs w:val="20"/>
                <w:lang w:eastAsia="pl-PL"/>
              </w:rPr>
              <w:t>obr</w:t>
            </w:r>
            <w:proofErr w:type="spellEnd"/>
            <w:r w:rsidR="00DF5F63">
              <w:rPr>
                <w:rFonts w:ascii="Times New Roman" w:eastAsia="Times New Roman" w:hAnsi="Times New Roman" w:cs="Times New Roman"/>
                <w:color w:val="000000"/>
                <w:sz w:val="20"/>
                <w:szCs w:val="20"/>
                <w:lang w:eastAsia="pl-PL"/>
              </w:rPr>
              <w:t xml:space="preserve">. 8 zgodnie </w:t>
            </w:r>
            <w:r w:rsidRPr="00674E26">
              <w:rPr>
                <w:rFonts w:ascii="Times New Roman" w:eastAsia="Times New Roman" w:hAnsi="Times New Roman" w:cs="Times New Roman"/>
                <w:color w:val="000000"/>
                <w:sz w:val="20"/>
                <w:szCs w:val="20"/>
                <w:lang w:eastAsia="pl-PL"/>
              </w:rPr>
              <w:t xml:space="preserve">z planem miejscowym przeznaczona jest pod zabudowę usługową i stanowi samodzielny teren inwestycyjny. Działka 184/70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8 zgodnie z planem miejscowym przeznaczona jest pod usługi sportu i rekreacji oraz zieleń urządzoną, przy czym zagospodarowanie terenu może być związane z realizacją celu publicznego, jednak objęta jest ona postępowaniem zwrotowym. Lokalizacja 2: teren obejmujący działki nr 490/12, 491/12 i 492/16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4 w większości przeznaczony jest pod usługi i stanowi samodzielny teren inwestycyjny, a pozostały fragment - pod drogę publiczną. Ponadto działka nr 492/16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xml:space="preserve">. 4 stanowi własność osób fizycznych. Lokalizacja 3: zgodnie z planem miejscowym teren obejmujący działkę nr 657/29 </w:t>
            </w:r>
            <w:proofErr w:type="spellStart"/>
            <w:r w:rsidRPr="00674E26">
              <w:rPr>
                <w:rFonts w:ascii="Times New Roman" w:eastAsia="Times New Roman" w:hAnsi="Times New Roman" w:cs="Times New Roman"/>
                <w:color w:val="000000"/>
                <w:sz w:val="20"/>
                <w:szCs w:val="20"/>
                <w:lang w:eastAsia="pl-PL"/>
              </w:rPr>
              <w:t>obr</w:t>
            </w:r>
            <w:proofErr w:type="spellEnd"/>
            <w:r w:rsidRPr="00674E26">
              <w:rPr>
                <w:rFonts w:ascii="Times New Roman" w:eastAsia="Times New Roman" w:hAnsi="Times New Roman" w:cs="Times New Roman"/>
                <w:color w:val="000000"/>
                <w:sz w:val="20"/>
                <w:szCs w:val="20"/>
                <w:lang w:eastAsia="pl-PL"/>
              </w:rPr>
              <w:t>. 4 w większości przeznaczony jest pod usługi z zakresu sportu, rekreacji, turystyki, gastronomii, hotelarstwa wraz z urządzeniami i obiektami towarzyszącymi oraz zielenią urządzoną, pozostały fragment - pod zieleń urządzoną, lasy, wody śródlądowe na potencjalnych terenach zalewowych, jednak objęta jest ona postępowaniem</w:t>
            </w:r>
            <w:r w:rsidR="003C51B9">
              <w:rPr>
                <w:rFonts w:ascii="Times New Roman" w:eastAsia="Times New Roman" w:hAnsi="Times New Roman" w:cs="Times New Roman"/>
                <w:color w:val="000000"/>
                <w:sz w:val="20"/>
                <w:szCs w:val="20"/>
                <w:lang w:eastAsia="pl-PL"/>
              </w:rPr>
              <w:t xml:space="preserve"> z wniosku o sprzedaż działki. </w:t>
            </w:r>
          </w:p>
        </w:tc>
      </w:tr>
      <w:tr w:rsidR="00DF5F63" w:rsidRPr="00674E26" w:rsidTr="0091694A">
        <w:trPr>
          <w:trHeight w:val="2917"/>
        </w:trPr>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30.</w:t>
            </w:r>
          </w:p>
        </w:tc>
        <w:tc>
          <w:tcPr>
            <w:tcW w:w="2485" w:type="dxa"/>
            <w:tcBorders>
              <w:top w:val="single" w:sz="4" w:space="0" w:color="auto"/>
              <w:left w:val="nil"/>
              <w:bottom w:val="single" w:sz="4" w:space="0" w:color="auto"/>
              <w:right w:val="single" w:sz="4" w:space="0" w:color="auto"/>
            </w:tcBorders>
            <w:shd w:val="clear" w:color="auto" w:fill="auto"/>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www.CentrumRecyklingu.eu</w:t>
            </w:r>
          </w:p>
        </w:tc>
        <w:tc>
          <w:tcPr>
            <w:tcW w:w="214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Magazyny na ul. Węglowej (lokalizacja do uzgodnienia)</w:t>
            </w:r>
          </w:p>
        </w:tc>
        <w:tc>
          <w:tcPr>
            <w:tcW w:w="268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zakłada utworzenie punktu recyklingu, wymiany rzeczy używanych, zakup auta dostawczego.  Przedmioty na wymianę mogłyby być naprawiane, remontowane,  odświeżane, np. przez osoby bezrobotne.</w:t>
            </w:r>
          </w:p>
        </w:tc>
        <w:tc>
          <w:tcPr>
            <w:tcW w:w="1330"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 xml:space="preserve">1 000 000,00 </w:t>
            </w:r>
          </w:p>
        </w:tc>
        <w:tc>
          <w:tcPr>
            <w:tcW w:w="5727" w:type="dxa"/>
            <w:tcBorders>
              <w:top w:val="single" w:sz="4" w:space="0" w:color="auto"/>
              <w:left w:val="nil"/>
              <w:bottom w:val="single" w:sz="4" w:space="0" w:color="auto"/>
              <w:right w:val="single" w:sz="4" w:space="0" w:color="auto"/>
            </w:tcBorders>
            <w:shd w:val="clear" w:color="000000" w:fill="FFFFFF"/>
            <w:hideMark/>
          </w:tcPr>
          <w:p w:rsidR="00674E26" w:rsidRPr="00674E26" w:rsidRDefault="00674E26" w:rsidP="00674E26">
            <w:pPr>
              <w:spacing w:after="0" w:line="240" w:lineRule="auto"/>
              <w:rPr>
                <w:rFonts w:ascii="Times New Roman" w:eastAsia="Times New Roman" w:hAnsi="Times New Roman" w:cs="Times New Roman"/>
                <w:color w:val="000000"/>
                <w:sz w:val="20"/>
                <w:szCs w:val="20"/>
                <w:lang w:eastAsia="pl-PL"/>
              </w:rPr>
            </w:pPr>
            <w:r w:rsidRPr="00674E26">
              <w:rPr>
                <w:rFonts w:ascii="Times New Roman" w:eastAsia="Times New Roman" w:hAnsi="Times New Roman" w:cs="Times New Roman"/>
                <w:color w:val="000000"/>
                <w:sz w:val="20"/>
                <w:szCs w:val="20"/>
                <w:lang w:eastAsia="pl-PL"/>
              </w:rPr>
              <w:t>Projekt nie spełnia wymogu określonego w § 6 pkt 2 i 3 uchwały* . Projekt koliduje z ustaleniami miejscowego planu zagospodarowania przestrzennego części osiedla Wygoda  - wskazany w projekcie teren przeznaczony jest pod wielofunkcyjne centrum kulturalno-usługowe z możliwością lokalizacji obiektu handlowego o pow. sprzedaży pow. 2000 m2 wraz z obiektami i urządzeniami towarzyszącymi oraz zielenią urządzoną. Ze względu na przeznaczenie, na wyznaczonym terenie nie jest wskazane gromadzenie, składowanie i magazynowanie odpadów wielkogabarytowych, ponieważ działalność taka prowadziłaby do powstania nieformalnego Punktu Selektywnej Zbiórki Odpadów Komunalnych, które mogą być prowadzone tylko przez upoważnione do tego podmioty.</w:t>
            </w:r>
          </w:p>
        </w:tc>
      </w:tr>
    </w:tbl>
    <w:p w:rsidR="00E504A7" w:rsidRDefault="00E504A7"/>
    <w:p w:rsidR="0091694A" w:rsidRDefault="00E23373" w:rsidP="00E23373">
      <w:pPr>
        <w:ind w:left="-709"/>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w:t>
      </w:r>
      <w:r w:rsidRPr="00E65C85">
        <w:rPr>
          <w:rFonts w:ascii="Times New Roman" w:eastAsia="Times New Roman" w:hAnsi="Times New Roman" w:cs="Times New Roman"/>
          <w:color w:val="000000"/>
          <w:sz w:val="20"/>
          <w:szCs w:val="20"/>
          <w:lang w:eastAsia="pl-PL"/>
        </w:rPr>
        <w:t>Uchwała Nr XIX/318/20 Rady Miasta Białystok z dnia 15 stycznia 2020 r. w sprawie konsultacji społecznych z mieszkańcami Miasta B</w:t>
      </w:r>
      <w:r>
        <w:rPr>
          <w:rFonts w:ascii="Times New Roman" w:eastAsia="Times New Roman" w:hAnsi="Times New Roman" w:cs="Times New Roman"/>
          <w:color w:val="000000"/>
          <w:sz w:val="20"/>
          <w:szCs w:val="20"/>
          <w:lang w:eastAsia="pl-PL"/>
        </w:rPr>
        <w:t xml:space="preserve">iałegostoku dotyczących budżetu </w:t>
      </w:r>
      <w:r w:rsidRPr="00E65C85">
        <w:rPr>
          <w:rFonts w:ascii="Times New Roman" w:eastAsia="Times New Roman" w:hAnsi="Times New Roman" w:cs="Times New Roman"/>
          <w:color w:val="000000"/>
          <w:sz w:val="20"/>
          <w:szCs w:val="20"/>
          <w:lang w:eastAsia="pl-PL"/>
        </w:rPr>
        <w:t>obywatelskiego</w:t>
      </w:r>
      <w:r>
        <w:rPr>
          <w:rFonts w:ascii="Times New Roman" w:eastAsia="Times New Roman" w:hAnsi="Times New Roman" w:cs="Times New Roman"/>
          <w:color w:val="000000"/>
          <w:sz w:val="20"/>
          <w:szCs w:val="20"/>
          <w:lang w:eastAsia="pl-PL"/>
        </w:rPr>
        <w:t>.</w:t>
      </w:r>
    </w:p>
    <w:p w:rsidR="00E23373" w:rsidRDefault="00E23373" w:rsidP="00E23373">
      <w:pPr>
        <w:ind w:left="-709"/>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Zarządzenie Nr 129/21 Prezydenta Miasta Białegostoku z dnia 26 lutego 2021 r. w sprawie szczegółowych warunków budżetu obywatelskiego w Białymstoku na 2022 rok</w:t>
      </w:r>
      <w:r>
        <w:rPr>
          <w:rFonts w:ascii="Times New Roman" w:eastAsia="Times New Roman" w:hAnsi="Times New Roman" w:cs="Times New Roman"/>
          <w:color w:val="000000"/>
          <w:sz w:val="20"/>
          <w:szCs w:val="20"/>
          <w:lang w:eastAsia="pl-PL"/>
        </w:rPr>
        <w:t>.</w:t>
      </w:r>
    </w:p>
    <w:p w:rsidR="00E23373" w:rsidRDefault="00E23373" w:rsidP="00E23373">
      <w:pPr>
        <w:ind w:left="-709"/>
      </w:pPr>
    </w:p>
    <w:sectPr w:rsidR="00E23373" w:rsidSect="00E23373">
      <w:pgSz w:w="16838" w:h="11906" w:orient="landscape"/>
      <w:pgMar w:top="567" w:right="82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E26"/>
    <w:rsid w:val="003C51B9"/>
    <w:rsid w:val="00674E26"/>
    <w:rsid w:val="00725555"/>
    <w:rsid w:val="0091694A"/>
    <w:rsid w:val="00B74594"/>
    <w:rsid w:val="00DF5F63"/>
    <w:rsid w:val="00E23373"/>
    <w:rsid w:val="00E504A7"/>
    <w:rsid w:val="00EE665F"/>
    <w:rsid w:val="00F54A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9EFF50-AE22-4F6D-B07F-A4023FAD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06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4168</Words>
  <Characters>25009</Characters>
  <Application>Microsoft Office Word</Application>
  <DocSecurity>0</DocSecurity>
  <Lines>208</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17</cp:revision>
  <cp:lastPrinted>2021-09-02T11:50:00Z</cp:lastPrinted>
  <dcterms:created xsi:type="dcterms:W3CDTF">2021-09-02T11:17:00Z</dcterms:created>
  <dcterms:modified xsi:type="dcterms:W3CDTF">2021-09-02T13:20:00Z</dcterms:modified>
</cp:coreProperties>
</file>